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3.0 -->
  <w:body>
    <w:p w:rsidR="00393A7A" w:rsidRPr="0083049C" w:rsidP="00393A7A" w14:paraId="2B5E0C96" w14:textId="77777777">
      <w:pPr>
        <w:suppressLineNumbers/>
        <w:jc w:val="center"/>
        <w:rPr>
          <w:b/>
          <w:bCs/>
        </w:rPr>
      </w:pPr>
      <w:bookmarkStart w:id="0" w:name="_DV_M10"/>
      <w:bookmarkStart w:id="1" w:name="OLE_LINK1"/>
      <w:bookmarkEnd w:id="0"/>
      <w:r w:rsidRPr="0083049C">
        <w:rPr>
          <w:b/>
          <w:bCs/>
        </w:rPr>
        <w:t>BEFORE THE GEORGIA PUBLIC SERVICE COMMISSION</w:t>
      </w:r>
    </w:p>
    <w:p w:rsidR="00393A7A" w:rsidRPr="0083049C" w:rsidP="00393A7A" w14:paraId="52159C1A" w14:textId="77777777">
      <w:pPr>
        <w:suppressLineNumbers/>
        <w:jc w:val="center"/>
        <w:rPr>
          <w:b/>
          <w:bCs/>
        </w:rPr>
      </w:pPr>
      <w:r w:rsidRPr="0083049C">
        <w:rPr>
          <w:b/>
          <w:bCs/>
        </w:rPr>
        <w:t>STATE OF GEORGIA</w:t>
      </w:r>
    </w:p>
    <w:p w:rsidR="00393A7A" w:rsidRPr="0083049C" w:rsidP="00393A7A" w14:paraId="22126179" w14:textId="77777777">
      <w:pPr>
        <w:suppressLineNumbers/>
        <w:rPr>
          <w:b/>
          <w:bCs/>
        </w:rPr>
      </w:pPr>
    </w:p>
    <w:tbl>
      <w:tblPr>
        <w:tblW w:w="0" w:type="auto"/>
        <w:tblBorders>
          <w:insideH w:val="single" w:sz="4" w:space="0" w:color="auto"/>
          <w:insideV w:val="single" w:sz="4" w:space="0" w:color="auto"/>
        </w:tblBorders>
        <w:tblLook w:val="0000"/>
      </w:tblPr>
      <w:tblGrid>
        <w:gridCol w:w="4659"/>
        <w:gridCol w:w="4669"/>
      </w:tblGrid>
      <w:tr w14:paraId="02A68521" w14:textId="77777777" w:rsidTr="002E7C03">
        <w:tblPrEx>
          <w:tblW w:w="0" w:type="auto"/>
          <w:tblBorders>
            <w:insideH w:val="single" w:sz="4" w:space="0" w:color="auto"/>
            <w:insideV w:val="single" w:sz="4" w:space="0" w:color="auto"/>
          </w:tblBorders>
          <w:tblLook w:val="0000"/>
        </w:tblPrEx>
        <w:trPr>
          <w:trHeight w:val="1872"/>
        </w:trPr>
        <w:tc>
          <w:tcPr>
            <w:tcW w:w="4659" w:type="dxa"/>
            <w:tcBorders>
              <w:top w:val="nil"/>
              <w:bottom w:val="single" w:sz="4" w:space="0" w:color="auto"/>
            </w:tcBorders>
          </w:tcPr>
          <w:p w:rsidR="00393A7A" w:rsidRPr="0083049C" w:rsidP="002E7C03" w14:paraId="36321222" w14:textId="77777777">
            <w:pPr>
              <w:suppressAutoHyphens/>
              <w:rPr>
                <w:rFonts w:eastAsia="SimSun"/>
                <w:b/>
                <w:bCs/>
                <w:szCs w:val="20"/>
              </w:rPr>
            </w:pPr>
          </w:p>
          <w:p w:rsidR="00393A7A" w:rsidRPr="0083049C" w:rsidP="002E7C03" w14:paraId="39EE7E84" w14:textId="77777777">
            <w:pPr>
              <w:suppressAutoHyphens/>
              <w:rPr>
                <w:rFonts w:eastAsia="SimSun"/>
                <w:b/>
                <w:bCs/>
                <w:szCs w:val="20"/>
              </w:rPr>
            </w:pPr>
            <w:r w:rsidRPr="0083049C">
              <w:rPr>
                <w:rFonts w:eastAsia="SimSun"/>
                <w:b/>
                <w:bCs/>
                <w:szCs w:val="20"/>
              </w:rPr>
              <w:t>IN RE:</w:t>
            </w:r>
          </w:p>
          <w:p w:rsidR="00393A7A" w:rsidRPr="0083049C" w:rsidP="002E7C03" w14:paraId="0D785178" w14:textId="77777777">
            <w:pPr>
              <w:suppressAutoHyphens/>
              <w:rPr>
                <w:rFonts w:eastAsia="SimSun"/>
                <w:b/>
                <w:bCs/>
                <w:szCs w:val="20"/>
              </w:rPr>
            </w:pPr>
          </w:p>
          <w:p w:rsidR="00393A7A" w:rsidRPr="0083049C" w:rsidP="002E7C03" w14:paraId="5BDA0EF5" w14:textId="77777777">
            <w:pPr>
              <w:suppressAutoHyphens/>
              <w:rPr>
                <w:rFonts w:eastAsia="SimSun"/>
                <w:b/>
                <w:bCs/>
                <w:szCs w:val="20"/>
              </w:rPr>
            </w:pPr>
            <w:r w:rsidRPr="0083049C">
              <w:rPr>
                <w:rFonts w:eastAsia="SimSun"/>
                <w:b/>
                <w:bCs/>
                <w:szCs w:val="20"/>
              </w:rPr>
              <w:t xml:space="preserve">ATLANTA GAS LIGHT COMPANY’S </w:t>
            </w:r>
            <w:r>
              <w:rPr>
                <w:b/>
                <w:szCs w:val="20"/>
              </w:rPr>
              <w:t>2025 – 2028 CAPACITY SUPPLY PLAN</w:t>
            </w:r>
          </w:p>
          <w:p w:rsidR="00393A7A" w:rsidRPr="0083049C" w:rsidP="002E7C03" w14:paraId="577CA6D8" w14:textId="77777777">
            <w:pPr>
              <w:suppressAutoHyphens/>
              <w:rPr>
                <w:rFonts w:eastAsia="SimSun"/>
                <w:b/>
                <w:bCs/>
                <w:szCs w:val="20"/>
              </w:rPr>
            </w:pPr>
          </w:p>
        </w:tc>
        <w:tc>
          <w:tcPr>
            <w:tcW w:w="4669" w:type="dxa"/>
          </w:tcPr>
          <w:p w:rsidR="00393A7A" w:rsidRPr="0083049C" w:rsidP="002E7C03" w14:paraId="64197E24" w14:textId="77777777">
            <w:pPr>
              <w:suppressAutoHyphens/>
              <w:ind w:left="899"/>
              <w:rPr>
                <w:rFonts w:eastAsia="SimSun"/>
                <w:szCs w:val="20"/>
              </w:rPr>
            </w:pPr>
          </w:p>
          <w:p w:rsidR="00393A7A" w:rsidRPr="0083049C" w:rsidP="002E7C03" w14:paraId="41090478" w14:textId="77777777">
            <w:pPr>
              <w:suppressAutoHyphens/>
              <w:ind w:left="899"/>
              <w:rPr>
                <w:rFonts w:eastAsia="SimSun"/>
                <w:b/>
                <w:bCs/>
                <w:szCs w:val="20"/>
              </w:rPr>
            </w:pPr>
          </w:p>
          <w:p w:rsidR="00393A7A" w:rsidRPr="0083049C" w:rsidP="002E7C03" w14:paraId="11FD3DD2" w14:textId="77777777">
            <w:pPr>
              <w:suppressAutoHyphens/>
              <w:ind w:left="899"/>
              <w:rPr>
                <w:rFonts w:eastAsia="SimSun"/>
                <w:b/>
                <w:bCs/>
                <w:szCs w:val="20"/>
              </w:rPr>
            </w:pPr>
            <w:r w:rsidRPr="0083049C">
              <w:rPr>
                <w:rFonts w:eastAsia="SimSun"/>
                <w:b/>
                <w:bCs/>
                <w:szCs w:val="20"/>
              </w:rPr>
              <w:t xml:space="preserve">Docket No. </w:t>
            </w:r>
            <w:r>
              <w:rPr>
                <w:rFonts w:eastAsia="SimSun"/>
                <w:b/>
                <w:bCs/>
                <w:szCs w:val="20"/>
              </w:rPr>
              <w:t>56177</w:t>
            </w:r>
          </w:p>
          <w:p w:rsidR="00393A7A" w:rsidP="002E7C03" w14:paraId="3B396D0B" w14:textId="77777777">
            <w:pPr>
              <w:suppressAutoHyphens/>
              <w:rPr>
                <w:rFonts w:eastAsia="SimSun"/>
                <w:szCs w:val="20"/>
              </w:rPr>
            </w:pPr>
          </w:p>
          <w:p w:rsidR="00393A7A" w:rsidP="002E7C03" w14:paraId="25190AFA" w14:textId="77777777">
            <w:pPr>
              <w:suppressAutoHyphens/>
              <w:rPr>
                <w:rFonts w:eastAsia="SimSun"/>
                <w:szCs w:val="20"/>
              </w:rPr>
            </w:pPr>
          </w:p>
          <w:p w:rsidR="00393A7A" w:rsidRPr="0083049C" w:rsidP="002E7C03" w14:paraId="4CC6D357" w14:textId="77777777">
            <w:pPr>
              <w:suppressAutoHyphens/>
              <w:rPr>
                <w:rFonts w:eastAsia="SimSun"/>
                <w:szCs w:val="20"/>
              </w:rPr>
            </w:pPr>
          </w:p>
        </w:tc>
      </w:tr>
      <w:bookmarkEnd w:id="1"/>
    </w:tbl>
    <w:p w:rsidR="007E3A0E" w:rsidP="007E3A0E" w14:paraId="494DF245" w14:textId="77777777">
      <w:pPr>
        <w:rPr>
          <w:b/>
        </w:rPr>
      </w:pPr>
    </w:p>
    <w:p w:rsidR="007E3A0E" w:rsidP="007E3A0E" w14:paraId="4E540C25" w14:textId="77777777">
      <w:pPr>
        <w:rPr>
          <w:b/>
        </w:rPr>
      </w:pPr>
    </w:p>
    <w:p w:rsidR="00846453" w:rsidRPr="008E1123" w:rsidP="00846453" w14:paraId="0962D870" w14:textId="77777777">
      <w:pPr>
        <w:jc w:val="center"/>
        <w:rPr>
          <w:b/>
          <w:u w:val="single"/>
        </w:rPr>
      </w:pPr>
      <w:r w:rsidRPr="008E1123">
        <w:rPr>
          <w:b/>
          <w:u w:val="single"/>
        </w:rPr>
        <w:t xml:space="preserve">ATLANTA GAS LIGHT COMPANY’S </w:t>
      </w:r>
      <w:r w:rsidRPr="008E1123" w:rsidR="007E3A0E">
        <w:rPr>
          <w:b/>
          <w:u w:val="single"/>
        </w:rPr>
        <w:t>MOTION TO DISMISS</w:t>
      </w:r>
    </w:p>
    <w:p w:rsidR="00846453" w:rsidRPr="008E1123" w:rsidP="00846453" w14:paraId="3015F0DE" w14:textId="77777777">
      <w:pPr>
        <w:jc w:val="center"/>
        <w:rPr>
          <w:b/>
          <w:u w:val="single"/>
        </w:rPr>
      </w:pPr>
      <w:r w:rsidRPr="008E1123">
        <w:rPr>
          <w:b/>
          <w:u w:val="single"/>
        </w:rPr>
        <w:t xml:space="preserve"> SCANA ENERGY MARKETING, LLC’S </w:t>
      </w:r>
    </w:p>
    <w:p w:rsidR="008E1123" w:rsidP="008E1123" w14:paraId="54C6469E" w14:textId="77777777">
      <w:pPr>
        <w:spacing w:after="240"/>
        <w:jc w:val="center"/>
        <w:rPr>
          <w:b/>
          <w:u w:val="single"/>
        </w:rPr>
      </w:pPr>
      <w:r>
        <w:rPr>
          <w:b/>
          <w:u w:val="single"/>
        </w:rPr>
        <w:t>COMPLAINT AGAINST ATLANTA GAS LIGHT COMPANY</w:t>
      </w:r>
    </w:p>
    <w:p w:rsidR="00F5081C" w:rsidP="008E1123" w14:paraId="559010A9" w14:textId="1F730F15">
      <w:pPr>
        <w:spacing w:line="480" w:lineRule="auto"/>
        <w:jc w:val="both"/>
      </w:pPr>
      <w:r>
        <w:tab/>
      </w:r>
      <w:r w:rsidR="004D0FAF">
        <w:t>Atlanta Gas Light</w:t>
      </w:r>
      <w:r>
        <w:t xml:space="preserve"> Company (“</w:t>
      </w:r>
      <w:r w:rsidR="004D0FAF">
        <w:t>AGL</w:t>
      </w:r>
      <w:r>
        <w:t>” or “Company”)</w:t>
      </w:r>
      <w:r w:rsidR="006D126C">
        <w:t xml:space="preserve"> </w:t>
      </w:r>
      <w:r>
        <w:t xml:space="preserve">files </w:t>
      </w:r>
      <w:r w:rsidR="006D126C">
        <w:t xml:space="preserve">this </w:t>
      </w:r>
      <w:r>
        <w:t xml:space="preserve">Motion to Dismiss </w:t>
      </w:r>
      <w:r w:rsidR="00393A7A">
        <w:t xml:space="preserve">with the Georgia Public Service Commission (“Commission”) requesting </w:t>
      </w:r>
      <w:r w:rsidR="00264CC4">
        <w:t xml:space="preserve">that </w:t>
      </w:r>
      <w:r w:rsidR="00393A7A">
        <w:t xml:space="preserve">the Commission dismiss the Complaint </w:t>
      </w:r>
      <w:r w:rsidR="004D0FAF">
        <w:t xml:space="preserve">SCANA Energy Marketing, LLC </w:t>
      </w:r>
      <w:r>
        <w:t>(“</w:t>
      </w:r>
      <w:r w:rsidR="004D0FAF">
        <w:t>SCANA</w:t>
      </w:r>
      <w:r>
        <w:t xml:space="preserve">”) </w:t>
      </w:r>
      <w:r w:rsidR="00393A7A">
        <w:t xml:space="preserve">filed on </w:t>
      </w:r>
      <w:r w:rsidRPr="006D126C" w:rsidR="006D126C">
        <w:t xml:space="preserve">April 6, 2026 (the “Complaint”) </w:t>
      </w:r>
      <w:r w:rsidR="00393A7A">
        <w:t>for failure</w:t>
      </w:r>
      <w:r>
        <w:t xml:space="preserve"> to state a claim on which the Commission may grant relief.</w:t>
      </w:r>
      <w:r w:rsidR="00F86280">
        <w:t xml:space="preserve"> Specifically, the Complaint seeks to relitigate issues relating to interstate </w:t>
      </w:r>
      <w:r w:rsidR="00CB58B6">
        <w:t xml:space="preserve">pipeline </w:t>
      </w:r>
      <w:r w:rsidR="00F86280">
        <w:t xml:space="preserve">operational flow orders (“OFO”) </w:t>
      </w:r>
      <w:r w:rsidR="00941F96">
        <w:t>contained within the</w:t>
      </w:r>
      <w:r w:rsidR="00F86280">
        <w:t xml:space="preserve"> </w:t>
      </w:r>
      <w:r w:rsidR="000262AD">
        <w:t>federally regulated</w:t>
      </w:r>
      <w:r w:rsidR="00C34A9C">
        <w:t xml:space="preserve"> </w:t>
      </w:r>
      <w:r w:rsidR="00941F96">
        <w:t>Transcontinental Gas Pipe</w:t>
      </w:r>
      <w:r w:rsidR="004F0FCE">
        <w:t xml:space="preserve"> Line </w:t>
      </w:r>
      <w:r w:rsidR="00941F96">
        <w:t>Corporation (“Transco”)</w:t>
      </w:r>
      <w:r w:rsidR="00F86280">
        <w:t xml:space="preserve"> tariff</w:t>
      </w:r>
      <w:r w:rsidR="00941F96">
        <w:t xml:space="preserve">. The </w:t>
      </w:r>
      <w:r w:rsidR="00090B23">
        <w:t xml:space="preserve">Federal Energy Regulatory Commission (“FERC”) approves and has sole jurisdiction over </w:t>
      </w:r>
      <w:r w:rsidR="00B30A8C">
        <w:t xml:space="preserve">the Transco tariff </w:t>
      </w:r>
      <w:r w:rsidR="00941F96">
        <w:t>OFO provisions</w:t>
      </w:r>
      <w:r w:rsidR="00F86280">
        <w:t xml:space="preserve">. </w:t>
      </w:r>
      <w:r w:rsidR="00C34A9C">
        <w:t>SCANA’s</w:t>
      </w:r>
      <w:r w:rsidR="00941F96">
        <w:t xml:space="preserve"> Complaint </w:t>
      </w:r>
      <w:r w:rsidR="00AD1FD9">
        <w:t xml:space="preserve">seeks redress over </w:t>
      </w:r>
      <w:r w:rsidR="00D8763C">
        <w:t xml:space="preserve">federal interstate pipeline </w:t>
      </w:r>
      <w:r w:rsidR="00AD1FD9">
        <w:t xml:space="preserve">issues wholly outside the </w:t>
      </w:r>
      <w:r w:rsidR="00B30A8C">
        <w:t xml:space="preserve">Commission’s </w:t>
      </w:r>
      <w:r w:rsidR="00AD1FD9">
        <w:t>jurisdiction</w:t>
      </w:r>
      <w:r w:rsidR="00B30A8C">
        <w:t xml:space="preserve">, </w:t>
      </w:r>
      <w:r w:rsidR="00687238">
        <w:t xml:space="preserve">and therefore </w:t>
      </w:r>
      <w:r w:rsidR="0018415D">
        <w:t xml:space="preserve">the Commission should dismiss SCANA’s Complaint </w:t>
      </w:r>
      <w:r w:rsidR="00AD1FD9">
        <w:t xml:space="preserve">without further action. </w:t>
      </w:r>
    </w:p>
    <w:p w:rsidR="001E278C" w:rsidRPr="001E278C" w:rsidP="008E1123" w14:paraId="12DC0780" w14:textId="77777777">
      <w:pPr>
        <w:keepNext/>
        <w:spacing w:after="240"/>
        <w:jc w:val="center"/>
        <w:rPr>
          <w:b/>
        </w:rPr>
      </w:pPr>
      <w:r>
        <w:rPr>
          <w:b/>
        </w:rPr>
        <w:t>I.</w:t>
      </w:r>
      <w:r>
        <w:rPr>
          <w:b/>
        </w:rPr>
        <w:tab/>
      </w:r>
      <w:r w:rsidRPr="001E278C">
        <w:rPr>
          <w:b/>
          <w:u w:val="single"/>
        </w:rPr>
        <w:t>INTRODUCTION</w:t>
      </w:r>
    </w:p>
    <w:p w:rsidR="0030072B" w:rsidP="001E278C" w14:paraId="1E1886C1" w14:textId="3A74DA51">
      <w:pPr>
        <w:spacing w:line="480" w:lineRule="auto"/>
        <w:jc w:val="both"/>
      </w:pPr>
      <w:r>
        <w:tab/>
      </w:r>
      <w:r w:rsidR="00BE485F">
        <w:t xml:space="preserve">On </w:t>
      </w:r>
      <w:r w:rsidR="00F954A1">
        <w:t>April 6</w:t>
      </w:r>
      <w:r w:rsidR="00BE485F">
        <w:t>, 20</w:t>
      </w:r>
      <w:r w:rsidR="00F954A1">
        <w:t>26</w:t>
      </w:r>
      <w:r w:rsidR="00BE485F">
        <w:t xml:space="preserve">, </w:t>
      </w:r>
      <w:r w:rsidR="00F954A1">
        <w:t>SCANA</w:t>
      </w:r>
      <w:r w:rsidR="00BE485F">
        <w:t xml:space="preserve">, </w:t>
      </w:r>
      <w:r w:rsidR="00F954A1">
        <w:t xml:space="preserve">a natural gas marketer </w:t>
      </w:r>
      <w:r w:rsidR="008E47B2">
        <w:t xml:space="preserve">with authority </w:t>
      </w:r>
      <w:r w:rsidR="00F954A1">
        <w:t>to provide retail natural gas service within the State of Georgia</w:t>
      </w:r>
      <w:r w:rsidR="00BE485F">
        <w:t xml:space="preserve">, petitioned the Commission </w:t>
      </w:r>
      <w:r w:rsidR="0018415D">
        <w:t xml:space="preserve">and requested </w:t>
      </w:r>
      <w:r w:rsidR="008E47B2">
        <w:t xml:space="preserve">that </w:t>
      </w:r>
      <w:r w:rsidR="00001ADD">
        <w:t>the Commission</w:t>
      </w:r>
      <w:r w:rsidR="00260453">
        <w:t xml:space="preserve"> </w:t>
      </w:r>
      <w:r w:rsidR="00AD1FD9">
        <w:t>examine the circumstances surrounding a</w:t>
      </w:r>
      <w:r w:rsidR="005375D4">
        <w:t>n</w:t>
      </w:r>
      <w:r w:rsidR="007639C5">
        <w:t xml:space="preserve"> </w:t>
      </w:r>
      <w:r w:rsidR="00156A99">
        <w:t>OFO</w:t>
      </w:r>
      <w:r w:rsidR="005375D4">
        <w:t xml:space="preserve"> Transco </w:t>
      </w:r>
      <w:r w:rsidR="00C34A9C">
        <w:t>issued on December</w:t>
      </w:r>
      <w:r w:rsidRPr="00AD1FD9" w:rsidR="00AD1FD9">
        <w:t xml:space="preserve"> 11, 2025</w:t>
      </w:r>
      <w:r w:rsidR="007639C5">
        <w:t>,</w:t>
      </w:r>
      <w:r w:rsidR="002774AC">
        <w:t xml:space="preserve"> with an effective date for gas day December 13, 2025</w:t>
      </w:r>
      <w:r w:rsidR="00A3756F">
        <w:t>. Additionally</w:t>
      </w:r>
      <w:r w:rsidR="008E47B2">
        <w:t>,</w:t>
      </w:r>
      <w:r w:rsidRPr="00AD1FD9" w:rsidR="00AD1FD9">
        <w:t xml:space="preserve"> </w:t>
      </w:r>
      <w:r w:rsidR="00A3756F">
        <w:t xml:space="preserve">SCANA requests that this Commission </w:t>
      </w:r>
      <w:r w:rsidR="00AD1FD9">
        <w:t>order</w:t>
      </w:r>
      <w:r w:rsidR="00BE485F">
        <w:t xml:space="preserve"> </w:t>
      </w:r>
      <w:r w:rsidR="00156A99">
        <w:t xml:space="preserve">AGL </w:t>
      </w:r>
      <w:r w:rsidR="005D052F">
        <w:t xml:space="preserve">to </w:t>
      </w:r>
      <w:r w:rsidR="00C34A9C">
        <w:t xml:space="preserve">fully </w:t>
      </w:r>
      <w:r w:rsidR="00080DBC">
        <w:t>reimburse</w:t>
      </w:r>
      <w:r w:rsidR="0074318C">
        <w:t xml:space="preserve"> </w:t>
      </w:r>
      <w:r w:rsidR="00D550D4">
        <w:t>certain</w:t>
      </w:r>
      <w:r w:rsidR="006158AD">
        <w:t xml:space="preserve"> interstate pipeline penalties </w:t>
      </w:r>
      <w:r w:rsidR="00156A99">
        <w:t xml:space="preserve">Transco </w:t>
      </w:r>
      <w:r w:rsidR="00156A99">
        <w:t>assessed against</w:t>
      </w:r>
      <w:r w:rsidR="00A3756F">
        <w:t>,</w:t>
      </w:r>
      <w:r w:rsidR="0074318C">
        <w:t xml:space="preserve"> </w:t>
      </w:r>
      <w:r w:rsidR="00A3756F">
        <w:t>and collected from,</w:t>
      </w:r>
      <w:r w:rsidR="00156A99">
        <w:t xml:space="preserve"> SCANA</w:t>
      </w:r>
      <w:r w:rsidR="00BE485F">
        <w:t>.</w:t>
      </w:r>
      <w:r>
        <w:rPr>
          <w:rStyle w:val="FootnoteReference"/>
        </w:rPr>
        <w:footnoteReference w:id="2"/>
      </w:r>
      <w:r w:rsidR="00BE485F">
        <w:t xml:space="preserve"> </w:t>
      </w:r>
      <w:r w:rsidR="00F15A91">
        <w:t xml:space="preserve">In other words, the SCANA Complaint asks </w:t>
      </w:r>
      <w:r w:rsidR="00C34A9C">
        <w:t>the Commission to analyze</w:t>
      </w:r>
      <w:r w:rsidR="00BC612B">
        <w:t>, apply</w:t>
      </w:r>
      <w:r w:rsidR="00393A7A">
        <w:t>,</w:t>
      </w:r>
      <w:r w:rsidR="00BC612B">
        <w:t xml:space="preserve"> and opine on </w:t>
      </w:r>
      <w:r w:rsidR="0095167B">
        <w:t xml:space="preserve">specific </w:t>
      </w:r>
      <w:r w:rsidR="00BC612B">
        <w:t>provisions of</w:t>
      </w:r>
      <w:r w:rsidR="00C922D4">
        <w:t xml:space="preserve"> </w:t>
      </w:r>
      <w:r w:rsidR="009509ED">
        <w:t>Transco</w:t>
      </w:r>
      <w:r w:rsidR="00BC612B">
        <w:t>’s FERC-approved</w:t>
      </w:r>
      <w:r w:rsidR="009509ED">
        <w:t xml:space="preserve"> tariff</w:t>
      </w:r>
      <w:r w:rsidR="00BC612B">
        <w:t xml:space="preserve"> and resolve a dispute </w:t>
      </w:r>
      <w:r w:rsidR="000601DC">
        <w:t>concerning</w:t>
      </w:r>
      <w:r w:rsidR="000A5C66">
        <w:t xml:space="preserve"> wholesale</w:t>
      </w:r>
      <w:r w:rsidR="00BC612B">
        <w:t xml:space="preserve"> </w:t>
      </w:r>
      <w:r w:rsidR="000A5C66">
        <w:t>interstate pipeline operations</w:t>
      </w:r>
      <w:r w:rsidR="00B74DF9">
        <w:t xml:space="preserve">. </w:t>
      </w:r>
      <w:r w:rsidR="00F15A91">
        <w:t xml:space="preserve">This inquiry is not within the Commission’s jurisdiction. </w:t>
      </w:r>
      <w:r w:rsidR="00A947A1">
        <w:t xml:space="preserve">SCANA’s Complaint </w:t>
      </w:r>
      <w:r w:rsidR="00173039">
        <w:t>alleges</w:t>
      </w:r>
      <w:r w:rsidR="00A947A1">
        <w:t xml:space="preserve"> no new facts </w:t>
      </w:r>
      <w:r w:rsidR="00173039">
        <w:t>that would authorize the</w:t>
      </w:r>
      <w:r w:rsidR="00A947A1">
        <w:t xml:space="preserve"> Commission </w:t>
      </w:r>
      <w:r w:rsidR="0074318C">
        <w:t xml:space="preserve">to override these </w:t>
      </w:r>
      <w:r w:rsidR="00C73A25">
        <w:t>constitutionally imposed</w:t>
      </w:r>
      <w:r w:rsidR="00A947A1">
        <w:t xml:space="preserve"> </w:t>
      </w:r>
      <w:r w:rsidR="00B06609">
        <w:t xml:space="preserve">jurisdictional </w:t>
      </w:r>
      <w:r w:rsidR="0074318C">
        <w:t>boundaries</w:t>
      </w:r>
      <w:r w:rsidR="001A2052">
        <w:t>,</w:t>
      </w:r>
      <w:r w:rsidR="00173039">
        <w:t xml:space="preserve"> and </w:t>
      </w:r>
      <w:r w:rsidR="00641E71">
        <w:t>it alleges</w:t>
      </w:r>
      <w:r w:rsidR="00A947A1">
        <w:t xml:space="preserve"> no violation of </w:t>
      </w:r>
      <w:r w:rsidR="00B92341">
        <w:t xml:space="preserve">Georgia law or </w:t>
      </w:r>
      <w:r w:rsidR="00A947A1">
        <w:t>the Company’s Commission-approved tariff</w:t>
      </w:r>
      <w:r w:rsidR="00173039">
        <w:t xml:space="preserve"> </w:t>
      </w:r>
      <w:r w:rsidR="004746C3">
        <w:t xml:space="preserve">(“AGL Tariff”) </w:t>
      </w:r>
      <w:r w:rsidR="00173039">
        <w:t xml:space="preserve">that </w:t>
      </w:r>
      <w:r w:rsidR="000601DC">
        <w:t xml:space="preserve">would empower the Commission to act on SCANA’s </w:t>
      </w:r>
      <w:r w:rsidR="0095167B">
        <w:t>Complaint.</w:t>
      </w:r>
      <w:r w:rsidR="00173039">
        <w:t xml:space="preserve"> </w:t>
      </w:r>
      <w:r w:rsidR="004746C3">
        <w:t>SCANA h</w:t>
      </w:r>
      <w:r w:rsidR="00C6310B">
        <w:t xml:space="preserve">aving failed to plead a set of facts sufficient for the Commission to grant relief, </w:t>
      </w:r>
      <w:r w:rsidR="004746C3">
        <w:t xml:space="preserve">the Commission must dismiss </w:t>
      </w:r>
      <w:r w:rsidR="00C6310B">
        <w:t>SCANA’s Complaint.</w:t>
      </w:r>
    </w:p>
    <w:p w:rsidR="00F72C4C" w:rsidP="008E1123" w14:paraId="2DF65801" w14:textId="77777777">
      <w:pPr>
        <w:keepNext/>
        <w:numPr>
          <w:ilvl w:val="0"/>
          <w:numId w:val="3"/>
        </w:numPr>
        <w:tabs>
          <w:tab w:val="clear" w:pos="1080"/>
        </w:tabs>
        <w:spacing w:after="240"/>
        <w:ind w:left="0" w:right="360" w:firstLine="0"/>
        <w:jc w:val="center"/>
        <w:rPr>
          <w:b/>
          <w:u w:val="single"/>
        </w:rPr>
      </w:pPr>
      <w:r>
        <w:rPr>
          <w:b/>
          <w:u w:val="single"/>
        </w:rPr>
        <w:t>SCANA’</w:t>
      </w:r>
      <w:r w:rsidR="00551AB4">
        <w:rPr>
          <w:b/>
          <w:u w:val="single"/>
        </w:rPr>
        <w:t>S</w:t>
      </w:r>
      <w:r>
        <w:rPr>
          <w:b/>
          <w:u w:val="single"/>
        </w:rPr>
        <w:t xml:space="preserve"> COMPLAINT </w:t>
      </w:r>
      <w:r w:rsidR="00845052">
        <w:rPr>
          <w:b/>
          <w:u w:val="single"/>
        </w:rPr>
        <w:t>RAISES ISSUES</w:t>
      </w:r>
      <w:r>
        <w:rPr>
          <w:b/>
          <w:u w:val="single"/>
        </w:rPr>
        <w:t xml:space="preserve"> SOLEY WITHIN FERC’</w:t>
      </w:r>
      <w:r w:rsidR="00551AB4">
        <w:rPr>
          <w:b/>
          <w:u w:val="single"/>
        </w:rPr>
        <w:t>S</w:t>
      </w:r>
      <w:r>
        <w:rPr>
          <w:b/>
          <w:u w:val="single"/>
        </w:rPr>
        <w:t xml:space="preserve"> JURISDICTION</w:t>
      </w:r>
    </w:p>
    <w:p w:rsidR="005E3DDE" w:rsidP="00A947A1" w14:paraId="5E9AF98D" w14:textId="77777777">
      <w:pPr>
        <w:spacing w:line="480" w:lineRule="auto"/>
        <w:jc w:val="both"/>
      </w:pPr>
      <w:r>
        <w:tab/>
        <w:t xml:space="preserve">SCANA’s </w:t>
      </w:r>
      <w:r w:rsidR="00393A7A">
        <w:t>C</w:t>
      </w:r>
      <w:r>
        <w:t xml:space="preserve">omplaint seeks </w:t>
      </w:r>
      <w:r w:rsidR="00452FEC">
        <w:t xml:space="preserve">redress relating to a </w:t>
      </w:r>
      <w:r w:rsidR="000818AD">
        <w:t xml:space="preserve">tariff subject to </w:t>
      </w:r>
      <w:r>
        <w:t>FERC</w:t>
      </w:r>
      <w:r w:rsidR="000818AD">
        <w:t>’s jurisdiction and</w:t>
      </w:r>
      <w:r w:rsidR="00452FEC">
        <w:t xml:space="preserve"> </w:t>
      </w:r>
      <w:r>
        <w:t xml:space="preserve">outside the </w:t>
      </w:r>
      <w:r w:rsidR="00551AB4">
        <w:t xml:space="preserve">Commission’s </w:t>
      </w:r>
      <w:r>
        <w:t>scope of review. Although SCANA attempts to paint the dispute as a state-level issue impacting Georgia c</w:t>
      </w:r>
      <w:r w:rsidR="00583B73">
        <w:t>ustomers</w:t>
      </w:r>
      <w:r>
        <w:t xml:space="preserve">, this dispute ultimately relates </w:t>
      </w:r>
      <w:r w:rsidR="00452FEC">
        <w:t xml:space="preserve">to </w:t>
      </w:r>
      <w:r w:rsidR="00282C28">
        <w:t xml:space="preserve">OFO </w:t>
      </w:r>
      <w:r w:rsidR="00452FEC">
        <w:t>penalties issued</w:t>
      </w:r>
      <w:r>
        <w:t xml:space="preserve"> </w:t>
      </w:r>
      <w:r w:rsidR="00393A7A">
        <w:t>under the</w:t>
      </w:r>
      <w:r>
        <w:t xml:space="preserve"> Transco tariff with no connection to Georgia law or </w:t>
      </w:r>
      <w:r w:rsidR="002F0D1F">
        <w:t xml:space="preserve">the </w:t>
      </w:r>
      <w:r>
        <w:t>AGL</w:t>
      </w:r>
      <w:r w:rsidR="002F0D1F">
        <w:t xml:space="preserve"> Tariff</w:t>
      </w:r>
      <w:r>
        <w:t xml:space="preserve">. </w:t>
      </w:r>
      <w:r w:rsidR="00B31CFA">
        <w:t xml:space="preserve">Equally fatal, </w:t>
      </w:r>
      <w:r w:rsidR="00452FEC">
        <w:t>the SCANA Complaint</w:t>
      </w:r>
      <w:r w:rsidR="00B31CFA">
        <w:t xml:space="preserve"> fails to</w:t>
      </w:r>
      <w:r w:rsidR="00452FEC">
        <w:t xml:space="preserve"> </w:t>
      </w:r>
      <w:r w:rsidR="00282C28">
        <w:t>cite to any authority under</w:t>
      </w:r>
      <w:r w:rsidR="00452FEC">
        <w:t xml:space="preserve"> Georgia law </w:t>
      </w:r>
      <w:r w:rsidR="00B31CFA">
        <w:t xml:space="preserve">or Commission precedent </w:t>
      </w:r>
      <w:r w:rsidR="00282C28">
        <w:t xml:space="preserve">to support </w:t>
      </w:r>
      <w:r w:rsidR="00B31CFA">
        <w:t>SCANA’s</w:t>
      </w:r>
      <w:r w:rsidR="00282C28">
        <w:t xml:space="preserve"> </w:t>
      </w:r>
      <w:r w:rsidR="002F0D1F">
        <w:t xml:space="preserve">demand </w:t>
      </w:r>
      <w:r w:rsidR="00282C28">
        <w:t xml:space="preserve">that the Commission </w:t>
      </w:r>
      <w:r w:rsidR="00452FEC">
        <w:t>pass</w:t>
      </w:r>
      <w:r w:rsidR="00B31CFA">
        <w:t xml:space="preserve"> through</w:t>
      </w:r>
      <w:r w:rsidR="00452FEC">
        <w:t xml:space="preserve"> </w:t>
      </w:r>
      <w:r w:rsidR="00CB2360">
        <w:t xml:space="preserve">SCANA’s </w:t>
      </w:r>
      <w:r w:rsidR="00282C28">
        <w:t xml:space="preserve">wholesale </w:t>
      </w:r>
      <w:r w:rsidR="00B31CFA">
        <w:t xml:space="preserve">interstate </w:t>
      </w:r>
      <w:r w:rsidR="00282C28">
        <w:t>pipeline</w:t>
      </w:r>
      <w:r w:rsidR="00452FEC">
        <w:t xml:space="preserve"> penalties </w:t>
      </w:r>
      <w:r w:rsidR="00282C28">
        <w:t>on</w:t>
      </w:r>
      <w:r w:rsidR="00452FEC">
        <w:t xml:space="preserve">to Georgia </w:t>
      </w:r>
      <w:r w:rsidR="00282C28">
        <w:t xml:space="preserve">local distribution </w:t>
      </w:r>
      <w:r w:rsidR="00583B73">
        <w:t>customers</w:t>
      </w:r>
      <w:r w:rsidR="00452FEC">
        <w:t xml:space="preserve">. </w:t>
      </w:r>
    </w:p>
    <w:p w:rsidR="006F1B43" w:rsidP="00A947A1" w14:paraId="7A64723B" w14:textId="7A62F3D9">
      <w:pPr>
        <w:spacing w:line="480" w:lineRule="auto"/>
        <w:jc w:val="both"/>
      </w:pPr>
      <w:r>
        <w:tab/>
      </w:r>
      <w:r w:rsidR="00452FEC">
        <w:t>SCANA’s Complaint</w:t>
      </w:r>
      <w:r w:rsidRPr="00E23E36" w:rsidR="00E23E36">
        <w:t xml:space="preserve"> </w:t>
      </w:r>
      <w:r w:rsidR="00DF18D8">
        <w:t xml:space="preserve">relies heavily on federal law and the Transco tariff to support its claim for relief. Specifically, </w:t>
      </w:r>
      <w:r w:rsidRPr="00E23E36" w:rsidR="00E23E36">
        <w:t>SCANA cites to 18 C.F.R. § 284.12(b)(2)(iv)-(v) and argues “federal regulations require pipelines to take reasonable steps to minimize adverse impact of OFOs and to provide timely information to enable shippers to manage imbalances and avoid penalties.”</w:t>
      </w:r>
      <w:r>
        <w:rPr>
          <w:rStyle w:val="FootnoteReference"/>
        </w:rPr>
        <w:footnoteReference w:id="3"/>
      </w:r>
      <w:r w:rsidRPr="00E23E36" w:rsidR="00E23E36">
        <w:t xml:space="preserve"> SCANA </w:t>
      </w:r>
      <w:r w:rsidR="00DF18D8">
        <w:t>further points to</w:t>
      </w:r>
      <w:r w:rsidRPr="00E23E36" w:rsidR="00E23E36">
        <w:t xml:space="preserve"> the Transco </w:t>
      </w:r>
      <w:r w:rsidR="00DF18D8">
        <w:t xml:space="preserve">tariff to establish </w:t>
      </w:r>
      <w:r w:rsidRPr="00E23E36" w:rsidR="00E23E36">
        <w:t xml:space="preserve">how </w:t>
      </w:r>
      <w:r w:rsidR="00E23E36">
        <w:t>SCANA</w:t>
      </w:r>
      <w:r w:rsidRPr="00E23E36" w:rsidR="00E23E36">
        <w:t xml:space="preserve"> believes AGL could have better accommodated SCANA</w:t>
      </w:r>
      <w:r w:rsidR="003D057C">
        <w:t>’s</w:t>
      </w:r>
      <w:r w:rsidR="00DF18D8">
        <w:t xml:space="preserve"> compliance with the OFO. </w:t>
      </w:r>
      <w:r w:rsidR="000818AD">
        <w:t>N</w:t>
      </w:r>
      <w:r w:rsidR="00DF18D8">
        <w:t>owhere in SCANA’s Complaint does</w:t>
      </w:r>
      <w:r w:rsidR="003D057C">
        <w:t xml:space="preserve"> SCANA establish any obligation under Georgia law, </w:t>
      </w:r>
      <w:r w:rsidR="002F0D1F">
        <w:t xml:space="preserve">the </w:t>
      </w:r>
      <w:r w:rsidR="003D057C">
        <w:t xml:space="preserve">AGL </w:t>
      </w:r>
      <w:r w:rsidR="002F0D1F">
        <w:t>T</w:t>
      </w:r>
      <w:r w:rsidR="003D057C">
        <w:t xml:space="preserve">ariff, or </w:t>
      </w:r>
      <w:r w:rsidR="00393A7A">
        <w:t xml:space="preserve">a </w:t>
      </w:r>
      <w:r w:rsidR="003D057C">
        <w:t xml:space="preserve">Commission order that requires </w:t>
      </w:r>
      <w:r w:rsidR="00CB4056">
        <w:t>AGL to have taken the actions</w:t>
      </w:r>
      <w:r w:rsidR="003D057C">
        <w:t xml:space="preserve"> </w:t>
      </w:r>
      <w:r w:rsidR="00682C19">
        <w:t xml:space="preserve">that </w:t>
      </w:r>
      <w:r w:rsidR="003D057C">
        <w:t>SCANA now argue</w:t>
      </w:r>
      <w:r w:rsidR="00B31CFA">
        <w:t>s</w:t>
      </w:r>
      <w:r w:rsidR="003D057C">
        <w:t xml:space="preserve"> justify </w:t>
      </w:r>
      <w:r w:rsidR="0074318C">
        <w:t>AGL and its customers to pay SCANA’s</w:t>
      </w:r>
      <w:r w:rsidR="003D057C">
        <w:t xml:space="preserve"> OFO penalties. </w:t>
      </w:r>
    </w:p>
    <w:p w:rsidR="006F1B43" w:rsidP="00A947A1" w14:paraId="7A7F43BB" w14:textId="77777777">
      <w:pPr>
        <w:spacing w:line="480" w:lineRule="auto"/>
        <w:jc w:val="both"/>
      </w:pPr>
      <w:r>
        <w:tab/>
      </w:r>
      <w:r w:rsidR="00591907">
        <w:t xml:space="preserve">SCANA </w:t>
      </w:r>
      <w:r w:rsidRPr="00591907" w:rsidR="00591907">
        <w:t xml:space="preserve">relies </w:t>
      </w:r>
      <w:r w:rsidR="00CC2CA3">
        <w:t xml:space="preserve">broadly </w:t>
      </w:r>
      <w:r w:rsidRPr="00591907" w:rsidR="00591907">
        <w:t xml:space="preserve">on the Commission’s general </w:t>
      </w:r>
      <w:r w:rsidR="00393A7A">
        <w:t xml:space="preserve">supervisory </w:t>
      </w:r>
      <w:r w:rsidRPr="00591907" w:rsidR="00591907">
        <w:t xml:space="preserve">jurisdiction </w:t>
      </w:r>
      <w:r w:rsidR="00393A7A">
        <w:t>under</w:t>
      </w:r>
      <w:r w:rsidRPr="00591907" w:rsidR="00591907">
        <w:t xml:space="preserve"> O.C.G.A. § 46-2-20</w:t>
      </w:r>
      <w:r w:rsidR="0014229C">
        <w:t xml:space="preserve"> </w:t>
      </w:r>
      <w:r w:rsidR="00CC2CA3">
        <w:t xml:space="preserve">and claims </w:t>
      </w:r>
      <w:r w:rsidRPr="0014229C" w:rsidR="0014229C">
        <w:t>that “the practices and actions challenged in this Complaint occurred within AGL’s regulated distribution system serving customer</w:t>
      </w:r>
      <w:r w:rsidR="00393A7A">
        <w:t>s</w:t>
      </w:r>
      <w:r w:rsidRPr="0014229C" w:rsidR="0014229C">
        <w:t xml:space="preserve"> in Georgia</w:t>
      </w:r>
      <w:r w:rsidR="00393A7A">
        <w:t>.</w:t>
      </w:r>
      <w:r w:rsidRPr="0014229C" w:rsidR="0014229C">
        <w:t>”</w:t>
      </w:r>
      <w:r>
        <w:rPr>
          <w:rStyle w:val="FootnoteReference"/>
        </w:rPr>
        <w:footnoteReference w:id="4"/>
      </w:r>
      <w:r w:rsidRPr="0014229C" w:rsidR="0014229C">
        <w:t xml:space="preserve"> </w:t>
      </w:r>
      <w:r w:rsidR="00CB4056">
        <w:t xml:space="preserve">Despite this </w:t>
      </w:r>
      <w:r w:rsidR="00083326">
        <w:t xml:space="preserve">broad and </w:t>
      </w:r>
      <w:r w:rsidR="00CB4056">
        <w:t>unspecified allegation,</w:t>
      </w:r>
      <w:r w:rsidR="00CC2CA3">
        <w:t xml:space="preserve"> </w:t>
      </w:r>
      <w:r w:rsidR="00083326">
        <w:t xml:space="preserve">all </w:t>
      </w:r>
      <w:r w:rsidR="00CB4056">
        <w:t xml:space="preserve">the facts contained within </w:t>
      </w:r>
      <w:r w:rsidR="00CC2CA3">
        <w:t>SCANA</w:t>
      </w:r>
      <w:r w:rsidR="00246C5F">
        <w:t xml:space="preserve">’s Complaint </w:t>
      </w:r>
      <w:r w:rsidR="00CB4056">
        <w:t>relate</w:t>
      </w:r>
      <w:r w:rsidR="00246C5F">
        <w:t xml:space="preserve"> entirely to</w:t>
      </w:r>
      <w:r w:rsidRPr="0014229C" w:rsidR="0014229C">
        <w:t xml:space="preserve"> </w:t>
      </w:r>
      <w:r w:rsidR="00246C5F">
        <w:t>gas commodit</w:t>
      </w:r>
      <w:r w:rsidR="002F0D1F">
        <w:t>ies</w:t>
      </w:r>
      <w:r w:rsidR="00246C5F">
        <w:t xml:space="preserve"> held on the Transco </w:t>
      </w:r>
      <w:r w:rsidRPr="0014229C" w:rsidR="0014229C">
        <w:t>interstate transmission system</w:t>
      </w:r>
      <w:r w:rsidR="006F7691">
        <w:t xml:space="preserve"> and </w:t>
      </w:r>
      <w:r w:rsidR="00AE463F">
        <w:t xml:space="preserve">Transco-related </w:t>
      </w:r>
      <w:r w:rsidR="006F7691">
        <w:t>penalties</w:t>
      </w:r>
      <w:r w:rsidR="00083326">
        <w:t>. The Complaint</w:t>
      </w:r>
      <w:r w:rsidR="004F2CF9">
        <w:t xml:space="preserve"> fails to </w:t>
      </w:r>
      <w:r w:rsidR="00083326">
        <w:t>allege any facts relating to AGL’s distribution system</w:t>
      </w:r>
      <w:r w:rsidR="00AE463F">
        <w:t xml:space="preserve"> that are</w:t>
      </w:r>
      <w:r w:rsidR="004F2CF9">
        <w:t xml:space="preserve"> within the </w:t>
      </w:r>
      <w:r w:rsidR="00AE463F">
        <w:t xml:space="preserve">Commission’s </w:t>
      </w:r>
      <w:r w:rsidR="004F2CF9">
        <w:t>scope of review</w:t>
      </w:r>
      <w:r w:rsidR="006F7691">
        <w:t xml:space="preserve">. </w:t>
      </w:r>
    </w:p>
    <w:p w:rsidR="006F1B43" w:rsidP="00A947A1" w14:paraId="7F565856" w14:textId="5E21D5A5">
      <w:pPr>
        <w:spacing w:line="480" w:lineRule="auto"/>
        <w:jc w:val="both"/>
      </w:pPr>
      <w:r>
        <w:tab/>
      </w:r>
      <w:r w:rsidR="00253001">
        <w:t>Similarly</w:t>
      </w:r>
      <w:r w:rsidR="0077050B">
        <w:t xml:space="preserve">, SCANA generally cites O.C.G.A. § 46-4-155, providing for Commission jurisdiction over electing distribution companies and interstate capacity assets, but fails to </w:t>
      </w:r>
      <w:r w:rsidR="00253001">
        <w:t>indicate which</w:t>
      </w:r>
      <w:r w:rsidR="0077050B">
        <w:t xml:space="preserve"> provisions AGL has allegedly violated</w:t>
      </w:r>
      <w:r w:rsidR="00BA497F">
        <w:t>,</w:t>
      </w:r>
      <w:r w:rsidR="0077050B">
        <w:t xml:space="preserve"> </w:t>
      </w:r>
      <w:r w:rsidR="003B3F2D">
        <w:t xml:space="preserve">or </w:t>
      </w:r>
      <w:r w:rsidR="00253001">
        <w:t>which provisions</w:t>
      </w:r>
      <w:r w:rsidR="003B3F2D">
        <w:t xml:space="preserve"> authorize the Commission to grant the relief SCANA requests. Indeed, </w:t>
      </w:r>
      <w:r w:rsidRPr="007B6B63" w:rsidR="007B6B63">
        <w:t>SCANA</w:t>
      </w:r>
      <w:r w:rsidR="003B3F2D">
        <w:t>’s Complaint</w:t>
      </w:r>
      <w:r w:rsidRPr="007B6B63" w:rsidR="007B6B63">
        <w:t xml:space="preserve"> </w:t>
      </w:r>
      <w:r w:rsidR="00103CDA">
        <w:t>concedes</w:t>
      </w:r>
      <w:r w:rsidRPr="007B6B63" w:rsidR="00103CDA">
        <w:t xml:space="preserve"> </w:t>
      </w:r>
      <w:r w:rsidRPr="007B6B63" w:rsidR="007B6B63">
        <w:t>that the OFO penalties are “borne by marketers such as SCANA”</w:t>
      </w:r>
      <w:r w:rsidR="007B6B63">
        <w:t xml:space="preserve"> </w:t>
      </w:r>
      <w:r w:rsidR="00253001">
        <w:t>and</w:t>
      </w:r>
      <w:r w:rsidR="006F7691">
        <w:t xml:space="preserve"> </w:t>
      </w:r>
      <w:r w:rsidR="003B3F2D">
        <w:t>offers no factual or legal support that such OFO penalties</w:t>
      </w:r>
      <w:r w:rsidR="005D5DF4">
        <w:t xml:space="preserve"> must be passed along to AGL</w:t>
      </w:r>
      <w:r w:rsidR="00FD01E4">
        <w:t>’s</w:t>
      </w:r>
      <w:r w:rsidR="005D5DF4">
        <w:t xml:space="preserve"> customers</w:t>
      </w:r>
      <w:r w:rsidR="00872E0C">
        <w:t xml:space="preserve">. </w:t>
      </w:r>
      <w:r w:rsidR="003D6AD9">
        <w:t xml:space="preserve">SCANA </w:t>
      </w:r>
      <w:r w:rsidR="00EB3AC8">
        <w:t xml:space="preserve">seeks to </w:t>
      </w:r>
      <w:r w:rsidR="005D5DF4">
        <w:t xml:space="preserve">conflate </w:t>
      </w:r>
      <w:r w:rsidR="00EB3AC8">
        <w:t xml:space="preserve">its own OFO penalties as an issue impacting </w:t>
      </w:r>
      <w:r w:rsidR="0005247A">
        <w:t>all Georgia c</w:t>
      </w:r>
      <w:r w:rsidR="00583B73">
        <w:t>ustomers</w:t>
      </w:r>
      <w:r w:rsidR="00834563">
        <w:t>.</w:t>
      </w:r>
      <w:r>
        <w:rPr>
          <w:rStyle w:val="FootnoteReference"/>
        </w:rPr>
        <w:footnoteReference w:id="5"/>
      </w:r>
      <w:r w:rsidR="00872E0C">
        <w:t xml:space="preserve"> </w:t>
      </w:r>
      <w:r>
        <w:t>Despite relying on</w:t>
      </w:r>
      <w:r w:rsidRPr="006F1B43">
        <w:t xml:space="preserve"> federal regulations and </w:t>
      </w:r>
      <w:r>
        <w:t>the Transco tariff to support its claims</w:t>
      </w:r>
      <w:r w:rsidRPr="006F1B43">
        <w:t>, SCANA now comes before this Commission—rather than FERC—to seek redress</w:t>
      </w:r>
      <w:r>
        <w:t xml:space="preserve"> without providing any independent state-law basis </w:t>
      </w:r>
      <w:r w:rsidR="00253001">
        <w:t xml:space="preserve">to justify </w:t>
      </w:r>
      <w:r>
        <w:t xml:space="preserve">Commission action. </w:t>
      </w:r>
    </w:p>
    <w:p w:rsidR="00895D1E" w:rsidP="00A947A1" w14:paraId="2E87E1BD" w14:textId="771AB8B8">
      <w:pPr>
        <w:spacing w:line="480" w:lineRule="auto"/>
        <w:jc w:val="both"/>
      </w:pPr>
      <w:r>
        <w:tab/>
      </w:r>
      <w:r w:rsidR="00616D81">
        <w:t>The</w:t>
      </w:r>
      <w:r w:rsidR="00834563">
        <w:t xml:space="preserve"> cornerstone of retail gas competition is that gas marketers such as SCANA must compete </w:t>
      </w:r>
      <w:r w:rsidR="00095003">
        <w:t>to serve</w:t>
      </w:r>
      <w:r w:rsidR="00834563">
        <w:t xml:space="preserve"> Georgia consumers. </w:t>
      </w:r>
      <w:r w:rsidR="00E8161E">
        <w:t>The AGL Tariff provides marketers with maximized scheduling flexibility</w:t>
      </w:r>
      <w:r w:rsidR="009834E3">
        <w:t xml:space="preserve"> and option</w:t>
      </w:r>
      <w:r w:rsidR="000E4F4E">
        <w:t>s</w:t>
      </w:r>
      <w:r w:rsidR="009956D5">
        <w:t>.</w:t>
      </w:r>
      <w:r w:rsidR="00872E0C">
        <w:t xml:space="preserve"> </w:t>
      </w:r>
      <w:r w:rsidR="009834E3">
        <w:t xml:space="preserve">This level playing field </w:t>
      </w:r>
      <w:r w:rsidR="00DE3E22">
        <w:t>allows</w:t>
      </w:r>
      <w:r w:rsidR="009834E3">
        <w:t xml:space="preserve"> marketers to independently assess and analyze scheduling risk and </w:t>
      </w:r>
      <w:r w:rsidR="00DE3E22">
        <w:t xml:space="preserve">make independent strategic </w:t>
      </w:r>
      <w:r w:rsidR="007144CA">
        <w:t>choices</w:t>
      </w:r>
      <w:r w:rsidR="00DE3E22">
        <w:t>.</w:t>
      </w:r>
      <w:r w:rsidR="009834E3">
        <w:t xml:space="preserve"> </w:t>
      </w:r>
      <w:r w:rsidR="00DE3E22">
        <w:t>But, c</w:t>
      </w:r>
      <w:r w:rsidR="00872E0C">
        <w:t xml:space="preserve">ontrary to the factual allegations in </w:t>
      </w:r>
      <w:r w:rsidR="00DF7D5D">
        <w:t xml:space="preserve">SCANA’s </w:t>
      </w:r>
      <w:r w:rsidR="00872E0C">
        <w:t xml:space="preserve">Complaint, </w:t>
      </w:r>
      <w:r w:rsidR="00DE3E22">
        <w:t xml:space="preserve">OFO penalties incurred resulting from </w:t>
      </w:r>
      <w:r w:rsidR="0042631F">
        <w:t xml:space="preserve">SCANA’s </w:t>
      </w:r>
      <w:r w:rsidR="00DE3E22">
        <w:t>wholesale market practices</w:t>
      </w:r>
      <w:r w:rsidR="00872E0C">
        <w:t xml:space="preserve"> </w:t>
      </w:r>
      <w:r w:rsidR="007639C5">
        <w:t>do not</w:t>
      </w:r>
      <w:r w:rsidR="0042631F">
        <w:t xml:space="preserve"> </w:t>
      </w:r>
      <w:r w:rsidR="007144CA">
        <w:t xml:space="preserve">fall </w:t>
      </w:r>
      <w:r w:rsidR="0042631F">
        <w:t xml:space="preserve">within the scope of </w:t>
      </w:r>
      <w:r w:rsidR="009C4E60">
        <w:t xml:space="preserve">the Commission’s </w:t>
      </w:r>
      <w:r w:rsidR="00211F6B">
        <w:t>electing distribution company</w:t>
      </w:r>
      <w:r w:rsidR="009C4E60">
        <w:t xml:space="preserve"> regulation.</w:t>
      </w:r>
      <w:r w:rsidR="009956D5">
        <w:t xml:space="preserve"> </w:t>
      </w:r>
      <w:r w:rsidR="002D4089">
        <w:t>T</w:t>
      </w:r>
      <w:r w:rsidR="007144CA">
        <w:t xml:space="preserve">he Georgia </w:t>
      </w:r>
      <w:r w:rsidRPr="007144CA" w:rsidR="007144CA">
        <w:t>Natural Gas Competition and Deregulation Act</w:t>
      </w:r>
      <w:r w:rsidR="00550667">
        <w:t xml:space="preserve"> </w:t>
      </w:r>
      <w:r w:rsidR="009C4E60">
        <w:t xml:space="preserve">(“Deregulation Act”) </w:t>
      </w:r>
      <w:r w:rsidR="00550667">
        <w:t>specifically prohibit</w:t>
      </w:r>
      <w:r w:rsidR="002D4089">
        <w:t>s the Commission</w:t>
      </w:r>
      <w:r w:rsidR="00550667">
        <w:t xml:space="preserve"> from regulating marketer </w:t>
      </w:r>
      <w:r w:rsidR="002D4089">
        <w:t>pricing</w:t>
      </w:r>
      <w:r w:rsidR="00550667">
        <w:t>.</w:t>
      </w:r>
      <w:r>
        <w:rPr>
          <w:rStyle w:val="FootnoteReference"/>
        </w:rPr>
        <w:footnoteReference w:id="6"/>
      </w:r>
      <w:r w:rsidR="00550667">
        <w:t xml:space="preserve"> </w:t>
      </w:r>
      <w:r w:rsidR="00502C08">
        <w:t>Ordering AGL to pay a</w:t>
      </w:r>
      <w:r w:rsidR="009C4E60">
        <w:t xml:space="preserve"> </w:t>
      </w:r>
      <w:r w:rsidR="00550667">
        <w:t>marketer’s wholesale market penalt</w:t>
      </w:r>
      <w:r w:rsidR="002D4089">
        <w:t>ies</w:t>
      </w:r>
      <w:r w:rsidR="00550667">
        <w:t xml:space="preserve"> </w:t>
      </w:r>
      <w:r w:rsidR="00817A23">
        <w:t xml:space="preserve">would </w:t>
      </w:r>
      <w:r w:rsidR="00E747DB">
        <w:t>directly</w:t>
      </w:r>
      <w:r w:rsidR="009C4E60">
        <w:t xml:space="preserve"> </w:t>
      </w:r>
      <w:r w:rsidR="00817A23">
        <w:t>alter</w:t>
      </w:r>
      <w:r w:rsidR="00E747DB">
        <w:t xml:space="preserve"> marketer pric</w:t>
      </w:r>
      <w:r w:rsidR="00502C08">
        <w:t>ing</w:t>
      </w:r>
      <w:r w:rsidR="00E747DB">
        <w:t>, violating the</w:t>
      </w:r>
      <w:r w:rsidR="009C4E60">
        <w:t xml:space="preserve"> Deregulation Act.  </w:t>
      </w:r>
      <w:r w:rsidR="000E4F4E">
        <w:t xml:space="preserve">Requiring AGL to reimburse a gas marketer’s OFO penalty </w:t>
      </w:r>
      <w:r w:rsidR="005850B6">
        <w:t>w</w:t>
      </w:r>
      <w:r w:rsidR="00DF7D5D">
        <w:t>ould</w:t>
      </w:r>
      <w:r w:rsidR="003F5BE2">
        <w:t xml:space="preserve"> </w:t>
      </w:r>
      <w:r w:rsidR="005850B6">
        <w:t>reduce</w:t>
      </w:r>
      <w:r w:rsidR="00E747DB">
        <w:t xml:space="preserve"> </w:t>
      </w:r>
      <w:r w:rsidR="005850B6">
        <w:t xml:space="preserve">incentives for gas marketers to effectively manage risk in their </w:t>
      </w:r>
      <w:r w:rsidR="003C0F05">
        <w:t>operations</w:t>
      </w:r>
      <w:r w:rsidR="004C0628">
        <w:t>,</w:t>
      </w:r>
      <w:r w:rsidR="003C0F05">
        <w:t xml:space="preserve"> </w:t>
      </w:r>
      <w:r w:rsidR="005850B6">
        <w:t>reduce competition</w:t>
      </w:r>
      <w:r w:rsidR="004C0628">
        <w:t>, and ultimately require revisions to the AGL Tariff that would scale back marketer option</w:t>
      </w:r>
      <w:r w:rsidR="000E4F4E">
        <w:t>s</w:t>
      </w:r>
      <w:r w:rsidR="004C0628">
        <w:t xml:space="preserve"> and control—all in conflict with the intent of the Deregulation Act</w:t>
      </w:r>
      <w:r w:rsidR="005850B6">
        <w:t>.</w:t>
      </w:r>
    </w:p>
    <w:p w:rsidR="00CB2360" w:rsidP="00A947A1" w14:paraId="2DEBEB4D" w14:textId="60AB641B">
      <w:pPr>
        <w:spacing w:line="480" w:lineRule="auto"/>
        <w:jc w:val="both"/>
      </w:pPr>
      <w:r>
        <w:tab/>
      </w:r>
      <w:r w:rsidR="00616D81">
        <w:t>The</w:t>
      </w:r>
      <w:r w:rsidR="00780C53">
        <w:t xml:space="preserve"> mere fact that </w:t>
      </w:r>
      <w:r w:rsidR="00955B3C">
        <w:t xml:space="preserve">a </w:t>
      </w:r>
      <w:r w:rsidR="00780C53">
        <w:t xml:space="preserve">FERC-jurisdictional tariff </w:t>
      </w:r>
      <w:r w:rsidR="0042631F">
        <w:t xml:space="preserve">policy or </w:t>
      </w:r>
      <w:r w:rsidR="00780C53">
        <w:t xml:space="preserve">decision may impact Georgia retail gas customers </w:t>
      </w:r>
      <w:r w:rsidR="00955B3C">
        <w:t xml:space="preserve">is neither a unique nor sufficient basis for the </w:t>
      </w:r>
      <w:r w:rsidR="00A92E19">
        <w:t xml:space="preserve">Commission to </w:t>
      </w:r>
      <w:r w:rsidR="00955B3C">
        <w:t>exercise jurisdiction</w:t>
      </w:r>
      <w:r>
        <w:t>.</w:t>
      </w:r>
      <w:r w:rsidR="00955B3C">
        <w:t xml:space="preserve"> </w:t>
      </w:r>
      <w:r>
        <w:t>N</w:t>
      </w:r>
      <w:r w:rsidR="00955B3C">
        <w:t>early all FERC-jurisdictional policy decisions implicate local gas c</w:t>
      </w:r>
      <w:r w:rsidR="001707C2">
        <w:t>ustomers</w:t>
      </w:r>
      <w:r w:rsidR="00955B3C">
        <w:t xml:space="preserve">. </w:t>
      </w:r>
      <w:r w:rsidR="00EB4492">
        <w:t>FERC-regulated pipeline tariffs</w:t>
      </w:r>
      <w:r w:rsidR="0042631F">
        <w:t xml:space="preserve"> may </w:t>
      </w:r>
      <w:r w:rsidR="00EB4492">
        <w:t xml:space="preserve">indeed </w:t>
      </w:r>
      <w:r w:rsidR="00EB3AC8">
        <w:t>impact</w:t>
      </w:r>
      <w:r w:rsidR="00EB4492">
        <w:t xml:space="preserve"> SCANA’s competitiveness in</w:t>
      </w:r>
      <w:r w:rsidR="0042631F">
        <w:t xml:space="preserve"> </w:t>
      </w:r>
      <w:r w:rsidR="00EB3AC8">
        <w:t xml:space="preserve">local </w:t>
      </w:r>
      <w:r w:rsidR="0042631F">
        <w:t>gas market</w:t>
      </w:r>
      <w:r w:rsidR="00EB3AC8">
        <w:t>s</w:t>
      </w:r>
      <w:r w:rsidR="006311FE">
        <w:t>, but these issues do not provide SCANA with the appropriate basis for relief</w:t>
      </w:r>
      <w:r w:rsidR="00EB4492">
        <w:t xml:space="preserve"> before the Commission</w:t>
      </w:r>
      <w:r w:rsidR="006311FE">
        <w:t xml:space="preserve">. </w:t>
      </w:r>
      <w:r w:rsidR="00AE3165">
        <w:t xml:space="preserve">The assessment of OFO penalties against SCANA </w:t>
      </w:r>
      <w:r w:rsidR="00984A07">
        <w:t xml:space="preserve">should affect </w:t>
      </w:r>
      <w:r w:rsidR="00AE3165">
        <w:t xml:space="preserve">SCANA customers only, relates to FERC-jurisdictional tariff decisions, and is not subject to Commission jurisdiction. </w:t>
      </w:r>
    </w:p>
    <w:p w:rsidR="0001316C" w:rsidP="00E91DC1" w14:paraId="1C8C4FC1" w14:textId="4427EDE5">
      <w:pPr>
        <w:spacing w:line="480" w:lineRule="auto"/>
        <w:jc w:val="both"/>
      </w:pPr>
      <w:r>
        <w:tab/>
      </w:r>
      <w:r w:rsidR="002B775A">
        <w:t xml:space="preserve">Perhaps it </w:t>
      </w:r>
      <w:r w:rsidR="009068C6">
        <w:t>is b</w:t>
      </w:r>
      <w:r w:rsidRPr="00CB2360" w:rsidR="00CB2360">
        <w:t xml:space="preserve">ecause the root of SCANA’s dispute involves federal jurisdictional issues, and not state-level issues </w:t>
      </w:r>
      <w:r w:rsidR="009068C6">
        <w:t xml:space="preserve">that are </w:t>
      </w:r>
      <w:r w:rsidRPr="00CB2360" w:rsidR="00CB2360">
        <w:t xml:space="preserve">subject to Commission review, </w:t>
      </w:r>
      <w:r w:rsidR="009068C6">
        <w:t xml:space="preserve">that </w:t>
      </w:r>
      <w:r w:rsidRPr="00CB2360" w:rsidR="00CB2360">
        <w:t>SCANA’s Complaint includes only vague and unsupported overtures to Georgia law. The Complaint lacks a sufficient jurisdictional nexus for Commission action.</w:t>
      </w:r>
    </w:p>
    <w:p w:rsidR="001E278C" w:rsidRPr="001E278C" w:rsidP="009178A8" w14:paraId="4DDC4FF7" w14:textId="37DAEF23">
      <w:pPr>
        <w:keepNext/>
        <w:numPr>
          <w:ilvl w:val="0"/>
          <w:numId w:val="3"/>
        </w:numPr>
        <w:tabs>
          <w:tab w:val="clear" w:pos="1080"/>
        </w:tabs>
        <w:spacing w:after="240"/>
        <w:ind w:left="0" w:firstLine="0"/>
        <w:jc w:val="center"/>
        <w:rPr>
          <w:b/>
        </w:rPr>
      </w:pPr>
      <w:r>
        <w:rPr>
          <w:b/>
          <w:caps/>
          <w:u w:val="single"/>
        </w:rPr>
        <w:t>SCANA FAILS TO SHOW AGL VIOLATED AGL’s COMMISSION</w:t>
      </w:r>
      <w:r w:rsidR="00393A7A">
        <w:rPr>
          <w:b/>
          <w:caps/>
          <w:u w:val="single"/>
        </w:rPr>
        <w:t>-</w:t>
      </w:r>
      <w:r>
        <w:rPr>
          <w:b/>
          <w:caps/>
          <w:u w:val="single"/>
        </w:rPr>
        <w:t>APPROVED TARIFF</w:t>
      </w:r>
    </w:p>
    <w:p w:rsidR="00D84706" w:rsidRPr="001F59C4" w:rsidP="00524428" w14:paraId="17F4A10E" w14:textId="7D0AD2B3">
      <w:pPr>
        <w:spacing w:line="480" w:lineRule="auto"/>
        <w:jc w:val="both"/>
        <w:rPr>
          <w:color w:val="000000" w:themeColor="text1"/>
        </w:rPr>
      </w:pPr>
      <w:r>
        <w:tab/>
      </w:r>
      <w:r w:rsidR="004C0628">
        <w:t xml:space="preserve">In order to act on SCANA’s Complaint, the </w:t>
      </w:r>
      <w:r w:rsidR="006741DF">
        <w:t xml:space="preserve">Complaint must allege a violation of </w:t>
      </w:r>
      <w:r w:rsidR="001D5293">
        <w:t>Georgia</w:t>
      </w:r>
      <w:r w:rsidR="006741DF">
        <w:t xml:space="preserve"> law, Commission order, or the AGL Tariff. SCANA’s Complaint fails to do </w:t>
      </w:r>
      <w:r w:rsidR="001D5293">
        <w:t>so.</w:t>
      </w:r>
      <w:r w:rsidR="004C0628">
        <w:t xml:space="preserve"> </w:t>
      </w:r>
      <w:r w:rsidR="006741DF">
        <w:t xml:space="preserve">Despite citing to the AGL Tariff, </w:t>
      </w:r>
      <w:r>
        <w:t xml:space="preserve">SCANA’s </w:t>
      </w:r>
      <w:r w:rsidR="006741DF">
        <w:t>Complaint fails to identify</w:t>
      </w:r>
      <w:r>
        <w:t xml:space="preserve"> any violation of </w:t>
      </w:r>
      <w:r w:rsidR="00A81B26">
        <w:t xml:space="preserve">the </w:t>
      </w:r>
      <w:r>
        <w:t>AGL</w:t>
      </w:r>
      <w:r w:rsidR="00A81B26">
        <w:t xml:space="preserve"> Tariff</w:t>
      </w:r>
      <w:r>
        <w:t xml:space="preserve"> </w:t>
      </w:r>
      <w:r w:rsidR="006741DF">
        <w:t>that would provide a supporting basis for the Commission to</w:t>
      </w:r>
      <w:r>
        <w:t xml:space="preserve"> grant</w:t>
      </w:r>
      <w:r w:rsidR="006741DF">
        <w:t xml:space="preserve"> SCANA’s requested</w:t>
      </w:r>
      <w:r>
        <w:t xml:space="preserve"> relief. </w:t>
      </w:r>
      <w:r w:rsidR="00682C19">
        <w:t xml:space="preserve">In its Complaint, SCANA </w:t>
      </w:r>
      <w:r w:rsidR="001707C2">
        <w:t>cites</w:t>
      </w:r>
      <w:r w:rsidR="005471BA">
        <w:t xml:space="preserve"> </w:t>
      </w:r>
      <w:r w:rsidR="00682C19">
        <w:t xml:space="preserve">several provisions of the AGL </w:t>
      </w:r>
      <w:r>
        <w:t>T</w:t>
      </w:r>
      <w:r w:rsidR="00682C19">
        <w:t xml:space="preserve">ariff </w:t>
      </w:r>
      <w:r w:rsidR="005471BA">
        <w:t>but</w:t>
      </w:r>
      <w:r>
        <w:t xml:space="preserve"> fails</w:t>
      </w:r>
      <w:r w:rsidR="001D5293">
        <w:t xml:space="preserve"> in its Complaint</w:t>
      </w:r>
      <w:r>
        <w:t xml:space="preserve"> to allege AGL violated any </w:t>
      </w:r>
      <w:r w:rsidR="001D5293">
        <w:t xml:space="preserve">provisions of </w:t>
      </w:r>
      <w:r w:rsidR="00946887">
        <w:t>the AGL</w:t>
      </w:r>
      <w:r w:rsidR="00AB4098">
        <w:t xml:space="preserve"> T</w:t>
      </w:r>
      <w:r>
        <w:t xml:space="preserve">ariff. Specifically, SCANA cites to </w:t>
      </w:r>
      <w:r w:rsidR="0091303F">
        <w:t>“</w:t>
      </w:r>
      <w:r>
        <w:t>AGL Tariff Section 17.2 (pipeline designation), 15.1.2 (intra-day DSR revisions), and 19.4 (nomination confirmation authority).</w:t>
      </w:r>
      <w:r w:rsidR="0091303F">
        <w:t>”</w:t>
      </w:r>
      <w:r>
        <w:rPr>
          <w:rStyle w:val="FootnoteReference"/>
        </w:rPr>
        <w:footnoteReference w:id="7"/>
      </w:r>
      <w:r w:rsidR="0091303F">
        <w:t xml:space="preserve"> </w:t>
      </w:r>
      <w:r w:rsidR="004810AB">
        <w:t>None of the foregoing</w:t>
      </w:r>
      <w:r w:rsidR="0091303F">
        <w:t xml:space="preserve"> </w:t>
      </w:r>
      <w:r w:rsidR="004810AB">
        <w:t xml:space="preserve">sections SCANA identifies in its Complaint obligate the Company to take the actions SCANA claims </w:t>
      </w:r>
      <w:r w:rsidR="008620F4">
        <w:t xml:space="preserve">now </w:t>
      </w:r>
      <w:r w:rsidR="004810AB">
        <w:t xml:space="preserve">justify </w:t>
      </w:r>
      <w:r w:rsidR="001D5293">
        <w:t xml:space="preserve">a Commission order directing </w:t>
      </w:r>
      <w:r w:rsidR="00080DBC">
        <w:t xml:space="preserve">AGL, and </w:t>
      </w:r>
      <w:r w:rsidRPr="001F59C4" w:rsidR="00080DBC">
        <w:rPr>
          <w:color w:val="000000" w:themeColor="text1"/>
        </w:rPr>
        <w:t>therefore its customers,</w:t>
      </w:r>
      <w:r w:rsidRPr="001F59C4" w:rsidR="000E4F4E">
        <w:rPr>
          <w:color w:val="000000" w:themeColor="text1"/>
        </w:rPr>
        <w:t xml:space="preserve"> </w:t>
      </w:r>
      <w:r w:rsidRPr="001F59C4" w:rsidR="008620F4">
        <w:rPr>
          <w:color w:val="000000" w:themeColor="text1"/>
        </w:rPr>
        <w:t>to pay</w:t>
      </w:r>
      <w:r w:rsidRPr="001F59C4" w:rsidR="004810AB">
        <w:rPr>
          <w:color w:val="000000" w:themeColor="text1"/>
        </w:rPr>
        <w:t xml:space="preserve"> SCANA’s OFO penalties. </w:t>
      </w:r>
      <w:r w:rsidRPr="001F59C4" w:rsidR="00117603">
        <w:rPr>
          <w:color w:val="000000" w:themeColor="text1"/>
        </w:rPr>
        <w:t xml:space="preserve">For example, </w:t>
      </w:r>
      <w:r w:rsidRPr="001F59C4" w:rsidR="0091303F">
        <w:rPr>
          <w:color w:val="000000" w:themeColor="text1"/>
        </w:rPr>
        <w:t xml:space="preserve">Section 17.2 </w:t>
      </w:r>
      <w:r w:rsidRPr="001F59C4" w:rsidR="00AB4098">
        <w:rPr>
          <w:color w:val="000000" w:themeColor="text1"/>
        </w:rPr>
        <w:t>(Pool Constraints) states:</w:t>
      </w:r>
    </w:p>
    <w:p w:rsidR="00AB4098" w:rsidRPr="001F59C4" w:rsidP="009178A8" w14:paraId="1ED36643" w14:textId="77777777">
      <w:pPr>
        <w:pStyle w:val="Quote"/>
        <w:spacing w:before="0" w:after="240"/>
        <w:ind w:left="720" w:right="720"/>
        <w:jc w:val="both"/>
        <w:rPr>
          <w:i w:val="0"/>
          <w:iCs w:val="0"/>
          <w:color w:val="000000" w:themeColor="text1"/>
        </w:rPr>
      </w:pPr>
      <w:r w:rsidRPr="001F59C4">
        <w:rPr>
          <w:i w:val="0"/>
          <w:iCs w:val="0"/>
          <w:color w:val="000000" w:themeColor="text1"/>
        </w:rPr>
        <w:t xml:space="preserve">Because of operational constraints, the Company </w:t>
      </w:r>
      <w:r w:rsidRPr="001F59C4">
        <w:rPr>
          <w:b/>
          <w:bCs/>
          <w:color w:val="000000" w:themeColor="text1"/>
        </w:rPr>
        <w:t>may</w:t>
      </w:r>
      <w:r w:rsidRPr="001F59C4">
        <w:rPr>
          <w:i w:val="0"/>
          <w:iCs w:val="0"/>
          <w:color w:val="000000" w:themeColor="text1"/>
        </w:rPr>
        <w:t xml:space="preserve"> from time to time </w:t>
      </w:r>
      <w:r w:rsidRPr="001F59C4">
        <w:rPr>
          <w:b/>
          <w:bCs/>
          <w:color w:val="000000" w:themeColor="text1"/>
        </w:rPr>
        <w:t>in its discretion</w:t>
      </w:r>
      <w:r w:rsidRPr="001F59C4">
        <w:rPr>
          <w:i w:val="0"/>
          <w:iCs w:val="0"/>
          <w:color w:val="000000" w:themeColor="text1"/>
        </w:rPr>
        <w:t xml:space="preserve"> designate the interstate pipeline company or companies that a Pooler must use for nominating Gas supplies into a Pool.</w:t>
      </w:r>
      <w:r>
        <w:rPr>
          <w:rStyle w:val="FootnoteReference"/>
          <w:i w:val="0"/>
          <w:iCs w:val="0"/>
          <w:color w:val="000000" w:themeColor="text1"/>
        </w:rPr>
        <w:footnoteReference w:id="8"/>
      </w:r>
    </w:p>
    <w:p w:rsidR="002E7026" w:rsidRPr="001F59C4" w:rsidP="009178A8" w14:paraId="2F06D974" w14:textId="77777777">
      <w:pPr>
        <w:spacing w:after="240"/>
        <w:rPr>
          <w:color w:val="000000" w:themeColor="text1"/>
        </w:rPr>
      </w:pPr>
      <w:r w:rsidRPr="001F59C4">
        <w:rPr>
          <w:color w:val="000000" w:themeColor="text1"/>
        </w:rPr>
        <w:t xml:space="preserve">Section 15.1.2 (Daily Supply Requirement) states in part: </w:t>
      </w:r>
    </w:p>
    <w:p w:rsidR="00FA756C" w:rsidRPr="001F59C4" w:rsidP="009178A8" w14:paraId="34D10B10" w14:textId="77777777">
      <w:pPr>
        <w:pStyle w:val="Quote"/>
        <w:spacing w:before="0" w:after="240"/>
        <w:ind w:left="720" w:right="720"/>
        <w:jc w:val="both"/>
        <w:rPr>
          <w:i w:val="0"/>
          <w:iCs w:val="0"/>
          <w:color w:val="000000" w:themeColor="text1"/>
        </w:rPr>
      </w:pPr>
      <w:r w:rsidRPr="001F59C4">
        <w:rPr>
          <w:i w:val="0"/>
          <w:iCs w:val="0"/>
          <w:color w:val="000000" w:themeColor="text1"/>
        </w:rPr>
        <w:t xml:space="preserve">In the event of unexpected weather conditions, the Company </w:t>
      </w:r>
      <w:r w:rsidRPr="001F59C4">
        <w:rPr>
          <w:b/>
          <w:bCs/>
          <w:color w:val="000000" w:themeColor="text1"/>
        </w:rPr>
        <w:t>may</w:t>
      </w:r>
      <w:r w:rsidRPr="001F59C4">
        <w:rPr>
          <w:i w:val="0"/>
          <w:iCs w:val="0"/>
          <w:color w:val="000000" w:themeColor="text1"/>
        </w:rPr>
        <w:t xml:space="preserve"> revise such DSRs at any time, including revisions during the actual Day of Gas flow by posting the revised DSR on the EBB</w:t>
      </w:r>
      <w:r w:rsidRPr="001F59C4" w:rsidR="008545FF">
        <w:rPr>
          <w:i w:val="0"/>
          <w:iCs w:val="0"/>
          <w:color w:val="000000" w:themeColor="text1"/>
        </w:rPr>
        <w:t>[</w:t>
      </w:r>
      <w:r w:rsidRPr="001F59C4">
        <w:rPr>
          <w:i w:val="0"/>
          <w:iCs w:val="0"/>
          <w:color w:val="000000" w:themeColor="text1"/>
        </w:rPr>
        <w:t>.</w:t>
      </w:r>
      <w:r w:rsidRPr="001F59C4" w:rsidR="008545FF">
        <w:rPr>
          <w:i w:val="0"/>
          <w:iCs w:val="0"/>
          <w:color w:val="000000" w:themeColor="text1"/>
        </w:rPr>
        <w:t>]</w:t>
      </w:r>
      <w:r>
        <w:rPr>
          <w:rStyle w:val="FootnoteReference"/>
          <w:i w:val="0"/>
          <w:iCs w:val="0"/>
          <w:color w:val="000000" w:themeColor="text1"/>
        </w:rPr>
        <w:footnoteReference w:id="9"/>
      </w:r>
      <w:r w:rsidRPr="001F59C4">
        <w:rPr>
          <w:i w:val="0"/>
          <w:iCs w:val="0"/>
          <w:color w:val="000000" w:themeColor="text1"/>
        </w:rPr>
        <w:t xml:space="preserve"> </w:t>
      </w:r>
    </w:p>
    <w:p w:rsidR="00FA756C" w:rsidRPr="001F59C4" w:rsidP="009178A8" w14:paraId="52A22912" w14:textId="77777777">
      <w:pPr>
        <w:spacing w:after="240"/>
        <w:rPr>
          <w:color w:val="000000" w:themeColor="text1"/>
        </w:rPr>
      </w:pPr>
      <w:r>
        <w:t>Section 19.4 (Confirmation) states</w:t>
      </w:r>
      <w:r w:rsidRPr="001F59C4">
        <w:rPr>
          <w:color w:val="000000" w:themeColor="text1"/>
        </w:rPr>
        <w:t xml:space="preserve">: </w:t>
      </w:r>
    </w:p>
    <w:p w:rsidR="008173C3" w:rsidRPr="001F59C4" w:rsidP="009178A8" w14:paraId="320E8396" w14:textId="77777777">
      <w:pPr>
        <w:spacing w:after="240"/>
        <w:ind w:left="720" w:right="720"/>
        <w:jc w:val="both"/>
        <w:rPr>
          <w:color w:val="000000" w:themeColor="text1"/>
        </w:rPr>
      </w:pPr>
      <w:r w:rsidRPr="001F59C4">
        <w:rPr>
          <w:color w:val="000000" w:themeColor="text1"/>
        </w:rPr>
        <w:t>The Company will confirm nominations in accordance with the order of service priority set forth in Subsection 14.2 of these Terms of Service. The Company reserves the right not to confirm a nomination in whole or in part if, in the sole judgment of the Company, confirmation of the nomination might threaten the operational integrity of its system.</w:t>
      </w:r>
      <w:r>
        <w:rPr>
          <w:rStyle w:val="FootnoteReference"/>
          <w:color w:val="000000" w:themeColor="text1"/>
        </w:rPr>
        <w:footnoteReference w:id="10"/>
      </w:r>
    </w:p>
    <w:p w:rsidR="0060030C" w:rsidP="009178A8" w14:paraId="71DAE87B" w14:textId="449FBA1E">
      <w:pPr>
        <w:spacing w:line="480" w:lineRule="auto"/>
        <w:jc w:val="both"/>
      </w:pPr>
      <w:r w:rsidRPr="001F59C4">
        <w:rPr>
          <w:color w:val="000000" w:themeColor="text1"/>
        </w:rPr>
        <w:t>T</w:t>
      </w:r>
      <w:r w:rsidRPr="001F59C4" w:rsidR="008173C3">
        <w:rPr>
          <w:color w:val="000000" w:themeColor="text1"/>
        </w:rPr>
        <w:t xml:space="preserve">he above provisions of </w:t>
      </w:r>
      <w:r w:rsidRPr="001F59C4" w:rsidR="00A81B26">
        <w:rPr>
          <w:color w:val="000000" w:themeColor="text1"/>
        </w:rPr>
        <w:t xml:space="preserve">the </w:t>
      </w:r>
      <w:r w:rsidRPr="001F59C4" w:rsidR="008173C3">
        <w:rPr>
          <w:color w:val="000000" w:themeColor="text1"/>
        </w:rPr>
        <w:t xml:space="preserve">AGL Tariff </w:t>
      </w:r>
      <w:r w:rsidRPr="001F59C4" w:rsidR="00467669">
        <w:rPr>
          <w:color w:val="000000" w:themeColor="text1"/>
        </w:rPr>
        <w:t>establish neither</w:t>
      </w:r>
      <w:r w:rsidRPr="001F59C4">
        <w:rPr>
          <w:color w:val="000000" w:themeColor="text1"/>
        </w:rPr>
        <w:t xml:space="preserve"> a duty </w:t>
      </w:r>
      <w:r w:rsidRPr="001F59C4" w:rsidR="0062583E">
        <w:rPr>
          <w:color w:val="000000" w:themeColor="text1"/>
        </w:rPr>
        <w:t xml:space="preserve">that </w:t>
      </w:r>
      <w:r w:rsidRPr="001F59C4">
        <w:rPr>
          <w:color w:val="000000" w:themeColor="text1"/>
        </w:rPr>
        <w:t xml:space="preserve">AGL violated nor a basis for SCANA to seek relief in the form of a full refund of OFO </w:t>
      </w:r>
      <w:r>
        <w:t xml:space="preserve">penalties. Neither the Company nor Georgia customers are obligated to </w:t>
      </w:r>
      <w:r w:rsidR="001930B8">
        <w:t xml:space="preserve">adhere to or be held responsible for hypothetical standards not contained in </w:t>
      </w:r>
      <w:r w:rsidR="005034DB">
        <w:t xml:space="preserve">the </w:t>
      </w:r>
      <w:r w:rsidR="001930B8">
        <w:t>AGL Tariff.</w:t>
      </w:r>
      <w:r w:rsidR="00946887">
        <w:t xml:space="preserve"> </w:t>
      </w:r>
      <w:r w:rsidR="00E4520A">
        <w:t>Because there are no provisions of the AGL Tariff that the Company violated,</w:t>
      </w:r>
      <w:r w:rsidR="00946887">
        <w:t xml:space="preserve"> SCANA’s Complaint should be dismissed.</w:t>
      </w:r>
    </w:p>
    <w:p w:rsidR="005034DB" w:rsidP="00946887" w14:paraId="7615B276" w14:textId="77777777">
      <w:pPr>
        <w:spacing w:line="480" w:lineRule="auto"/>
        <w:jc w:val="center"/>
      </w:pPr>
      <w:r w:rsidRPr="00946887">
        <w:rPr>
          <w:b/>
          <w:bCs/>
        </w:rPr>
        <w:t>V.</w:t>
      </w:r>
      <w:r>
        <w:tab/>
      </w:r>
      <w:r w:rsidRPr="00946887">
        <w:rPr>
          <w:b/>
          <w:bCs/>
          <w:u w:val="single"/>
        </w:rPr>
        <w:t>CONCLUSION</w:t>
      </w:r>
    </w:p>
    <w:p w:rsidR="00B12765" w:rsidP="009178A8" w14:paraId="396C5BC5" w14:textId="77777777">
      <w:pPr>
        <w:spacing w:line="480" w:lineRule="auto"/>
        <w:jc w:val="both"/>
      </w:pPr>
      <w:r w:rsidRPr="00902FCD">
        <w:rPr>
          <w:b/>
          <w:caps/>
        </w:rPr>
        <w:tab/>
      </w:r>
      <w:r w:rsidR="001707C2">
        <w:t>For</w:t>
      </w:r>
      <w:r w:rsidR="009643ED">
        <w:t xml:space="preserve"> the foregoing reasons, </w:t>
      </w:r>
      <w:r w:rsidR="00C96F59">
        <w:t xml:space="preserve">AGL requests that the Commission grant </w:t>
      </w:r>
      <w:r w:rsidR="001707C2">
        <w:t xml:space="preserve">the Company’s </w:t>
      </w:r>
      <w:r w:rsidR="00C96F59">
        <w:t>Motion to Dismiss</w:t>
      </w:r>
      <w:r w:rsidR="009643ED">
        <w:t>.</w:t>
      </w:r>
    </w:p>
    <w:p w:rsidR="00E60FB0" w:rsidP="009178A8" w14:paraId="0D0954A2" w14:textId="77777777">
      <w:pPr>
        <w:spacing w:line="480" w:lineRule="auto"/>
        <w:jc w:val="both"/>
      </w:pPr>
      <w:r>
        <w:tab/>
        <w:t xml:space="preserve">Respectfully submitted this </w:t>
      </w:r>
      <w:r w:rsidR="009178A8">
        <w:t>5th</w:t>
      </w:r>
      <w:r w:rsidR="00E2643F">
        <w:t xml:space="preserve"> </w:t>
      </w:r>
      <w:r>
        <w:t xml:space="preserve">day of </w:t>
      </w:r>
      <w:r w:rsidR="00754959">
        <w:t>May</w:t>
      </w:r>
      <w:r w:rsidR="00961557">
        <w:t xml:space="preserve"> </w:t>
      </w:r>
      <w:r>
        <w:t>20</w:t>
      </w:r>
      <w:r w:rsidR="00754959">
        <w:t>2</w:t>
      </w:r>
      <w:r>
        <w:t>6.</w:t>
      </w:r>
    </w:p>
    <w:p w:rsidR="00B12765" w:rsidRPr="00CA0809" w:rsidP="00B12765" w14:paraId="3A0089F1" w14:textId="162CBB73">
      <w:pPr>
        <w:pStyle w:val="BlockText"/>
        <w:spacing w:before="0" w:after="0"/>
        <w:ind w:left="3600" w:firstLine="720"/>
        <w:rPr>
          <w:b/>
          <w:bCs/>
        </w:rPr>
      </w:pPr>
      <w:r w:rsidRPr="00CA0809">
        <w:rPr>
          <w:b/>
          <w:bCs/>
        </w:rPr>
        <w:t>HOLLAND &amp; KNIGHT LLP</w:t>
      </w:r>
    </w:p>
    <w:p w:rsidR="00B12765" w:rsidRPr="00CA0809" w:rsidP="00B12765" w14:paraId="41B8BA24" w14:textId="71699206">
      <w:pPr>
        <w:pStyle w:val="BlockText"/>
        <w:spacing w:before="0" w:after="0"/>
        <w:ind w:left="3600"/>
      </w:pPr>
      <w:r>
        <w:rPr>
          <w:noProof/>
        </w:rPr>
        <w:drawing>
          <wp:anchor distT="0" distB="0" distL="114300" distR="114300" simplePos="0" relativeHeight="251658240" behindDoc="1" locked="0" layoutInCell="1" allowOverlap="1">
            <wp:simplePos x="0" y="0"/>
            <wp:positionH relativeFrom="column">
              <wp:posOffset>2724150</wp:posOffset>
            </wp:positionH>
            <wp:positionV relativeFrom="paragraph">
              <wp:posOffset>114935</wp:posOffset>
            </wp:positionV>
            <wp:extent cx="2228850" cy="53788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228850" cy="537881"/>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12765" w:rsidRPr="00CA0809" w:rsidP="00B12765" w14:paraId="66C9DDE1" w14:textId="77777777">
      <w:pPr>
        <w:pStyle w:val="BlockText"/>
        <w:spacing w:before="0" w:after="0"/>
        <w:ind w:left="3600"/>
      </w:pPr>
    </w:p>
    <w:p w:rsidR="00B12765" w:rsidRPr="00CA0809" w:rsidP="00B12765" w14:paraId="6951E2AB" w14:textId="77777777">
      <w:pPr>
        <w:pStyle w:val="BlockText"/>
        <w:spacing w:before="0" w:after="0"/>
        <w:ind w:left="3600" w:firstLine="720"/>
      </w:pPr>
      <w:bookmarkStart w:id="2" w:name="OLE_LINK49"/>
      <w:r>
        <w:rPr>
          <w:u w:val="single"/>
        </w:rPr>
        <w:tab/>
      </w:r>
      <w:r>
        <w:rPr>
          <w:u w:val="single"/>
        </w:rPr>
        <w:tab/>
      </w:r>
      <w:r>
        <w:rPr>
          <w:u w:val="single"/>
        </w:rPr>
        <w:tab/>
      </w:r>
      <w:r>
        <w:rPr>
          <w:u w:val="single"/>
        </w:rPr>
        <w:tab/>
      </w:r>
      <w:r w:rsidRPr="00CA0809">
        <w:rPr>
          <w:u w:val="single"/>
        </w:rPr>
        <w:tab/>
      </w:r>
    </w:p>
    <w:bookmarkEnd w:id="2"/>
    <w:p w:rsidR="00B12765" w:rsidRPr="00CA0809" w:rsidP="00B12765" w14:paraId="0571A379" w14:textId="77777777">
      <w:pPr>
        <w:pStyle w:val="BlockText"/>
        <w:spacing w:before="0" w:after="0"/>
        <w:ind w:left="3600" w:firstLine="720"/>
      </w:pPr>
      <w:r>
        <w:t>Robert S. Highsmith Jr.</w:t>
      </w:r>
    </w:p>
    <w:p w:rsidR="00B12765" w:rsidRPr="00CA0809" w:rsidP="00B12765" w14:paraId="73991B44" w14:textId="77777777">
      <w:pPr>
        <w:pStyle w:val="BlockText"/>
        <w:spacing w:before="0" w:after="0"/>
        <w:ind w:left="3600" w:firstLine="720"/>
      </w:pPr>
      <w:r>
        <w:t xml:space="preserve">State Bar of </w:t>
      </w:r>
      <w:r w:rsidRPr="00CA0809">
        <w:t>Georgia</w:t>
      </w:r>
      <w:r>
        <w:t xml:space="preserve"> </w:t>
      </w:r>
      <w:r w:rsidRPr="00CA0809">
        <w:t xml:space="preserve">No. </w:t>
      </w:r>
      <w:r>
        <w:t>352777</w:t>
      </w:r>
    </w:p>
    <w:p w:rsidR="00B12765" w:rsidRPr="00CA0809" w:rsidP="00B12765" w14:paraId="53B7F663" w14:textId="77777777">
      <w:pPr>
        <w:pStyle w:val="BlockText"/>
        <w:spacing w:before="0" w:after="0"/>
        <w:ind w:left="3600" w:firstLine="720"/>
      </w:pPr>
      <w:bookmarkStart w:id="3" w:name="OLE_LINK48"/>
      <w:r>
        <w:t>Lindsey S. Williamson</w:t>
      </w:r>
    </w:p>
    <w:p w:rsidR="00B12765" w:rsidP="00B12765" w14:paraId="53742960" w14:textId="77777777">
      <w:pPr>
        <w:pStyle w:val="BlockText"/>
        <w:spacing w:before="0" w:after="0"/>
        <w:ind w:left="3600" w:firstLine="720"/>
      </w:pPr>
      <w:r>
        <w:t xml:space="preserve">State </w:t>
      </w:r>
      <w:r w:rsidRPr="00CA0809">
        <w:t>Bar</w:t>
      </w:r>
      <w:r>
        <w:t xml:space="preserve"> of Georgia</w:t>
      </w:r>
      <w:r w:rsidRPr="00CA0809">
        <w:t xml:space="preserve"> No. </w:t>
      </w:r>
      <w:r>
        <w:t>783366</w:t>
      </w:r>
    </w:p>
    <w:p w:rsidR="00961557" w:rsidP="00B12765" w14:paraId="2A6439EB" w14:textId="77777777">
      <w:pPr>
        <w:pStyle w:val="BlockText"/>
        <w:spacing w:before="0" w:after="0"/>
        <w:ind w:left="3600" w:firstLine="720"/>
      </w:pPr>
    </w:p>
    <w:p w:rsidR="00961557" w:rsidRPr="00B12765" w:rsidP="00961557" w14:paraId="620EB161" w14:textId="77777777">
      <w:pPr>
        <w:pStyle w:val="BlockText"/>
        <w:spacing w:before="0" w:after="0"/>
        <w:ind w:left="3600" w:firstLine="720"/>
        <w:rPr>
          <w:i/>
          <w:iCs/>
        </w:rPr>
      </w:pPr>
      <w:r>
        <w:rPr>
          <w:i/>
          <w:iCs/>
        </w:rPr>
        <w:t xml:space="preserve">Attorneys for Atlanta Gas Light </w:t>
      </w:r>
      <w:r>
        <w:rPr>
          <w:i/>
          <w:iCs/>
        </w:rPr>
        <w:tab/>
        <w:t>Company</w:t>
      </w:r>
    </w:p>
    <w:p w:rsidR="00961557" w:rsidRPr="00CA0809" w:rsidP="00B12765" w14:paraId="68B7BB3D" w14:textId="77777777">
      <w:pPr>
        <w:pStyle w:val="BlockText"/>
        <w:spacing w:before="0" w:after="0"/>
        <w:ind w:left="3600" w:firstLine="720"/>
      </w:pPr>
    </w:p>
    <w:bookmarkEnd w:id="3"/>
    <w:p w:rsidR="00B12765" w:rsidRPr="00CA0809" w:rsidP="00961557" w14:paraId="1CF4324A" w14:textId="77777777">
      <w:pPr>
        <w:pStyle w:val="BlockText"/>
        <w:spacing w:before="0" w:after="0"/>
        <w:ind w:left="0"/>
      </w:pPr>
      <w:r w:rsidRPr="00CA0809">
        <w:t>1180 West Peachtree Street, N.W.</w:t>
      </w:r>
    </w:p>
    <w:p w:rsidR="00B12765" w:rsidRPr="00CA0809" w:rsidP="00961557" w14:paraId="5F39FA5A" w14:textId="77777777">
      <w:pPr>
        <w:pStyle w:val="BlockText"/>
        <w:spacing w:before="0" w:after="0"/>
        <w:ind w:left="0"/>
      </w:pPr>
      <w:r w:rsidRPr="00CA0809">
        <w:t>Suite 1800</w:t>
      </w:r>
    </w:p>
    <w:p w:rsidR="00B12765" w:rsidRPr="00CA0809" w:rsidP="00961557" w14:paraId="4E4634BF" w14:textId="77777777">
      <w:pPr>
        <w:pStyle w:val="BlockText"/>
        <w:spacing w:before="0" w:after="0"/>
        <w:ind w:left="0"/>
      </w:pPr>
      <w:r w:rsidRPr="00CA0809">
        <w:t>Atlanta, Georgia 30309</w:t>
      </w:r>
    </w:p>
    <w:p w:rsidR="00B12765" w:rsidRPr="00CA0809" w:rsidP="00961557" w14:paraId="76626C5C" w14:textId="77777777">
      <w:pPr>
        <w:pStyle w:val="BlockText"/>
        <w:spacing w:before="0" w:after="0"/>
        <w:ind w:left="0"/>
      </w:pPr>
      <w:r w:rsidRPr="00CA0809">
        <w:t>Telephone:  (404) 817-8500</w:t>
      </w:r>
    </w:p>
    <w:p w:rsidR="00B12765" w:rsidP="00961557" w14:paraId="38E3F19E" w14:textId="77777777">
      <w:pPr>
        <w:pStyle w:val="BlockText"/>
        <w:spacing w:before="0" w:after="0"/>
        <w:ind w:left="0"/>
      </w:pPr>
      <w:r w:rsidRPr="00CA0809">
        <w:t>Facsimile:</w:t>
      </w:r>
      <w:r w:rsidR="00554984">
        <w:t xml:space="preserve"> </w:t>
      </w:r>
      <w:r w:rsidRPr="00CA0809">
        <w:t xml:space="preserve"> (404) 881-0470</w:t>
      </w:r>
    </w:p>
    <w:p w:rsidR="006025FC" w:rsidP="003C0F05" w14:paraId="6BD1B875" w14:textId="7D55871A">
      <w:pPr>
        <w:pStyle w:val="BlockText"/>
        <w:spacing w:before="0" w:after="0"/>
        <w:ind w:left="0"/>
      </w:pPr>
      <w:r w:rsidRPr="006025FC">
        <w:t>Robert.highsmith@hklaw.com</w:t>
      </w:r>
    </w:p>
    <w:p w:rsidR="00B12765" w:rsidRPr="00B12765" w:rsidP="003C0F05" w14:paraId="6AFFA6CC" w14:textId="6514D8E5">
      <w:pPr>
        <w:pStyle w:val="BlockText"/>
        <w:spacing w:before="0" w:after="0"/>
        <w:ind w:left="0"/>
        <w:rPr>
          <w:i/>
          <w:iCs/>
        </w:rPr>
      </w:pPr>
      <w:r w:rsidRPr="00ED1DF1">
        <w:t>Lindsey.williamson@hklaw.com</w:t>
      </w:r>
    </w:p>
    <w:sectPr w:rsidSect="000E4F4E">
      <w:headerReference w:type="even" r:id="rId7"/>
      <w:headerReference w:type="default" r:id="rId8"/>
      <w:footerReference w:type="even" r:id="rId9"/>
      <w:footerReference w:type="default" r:id="rId10"/>
      <w:headerReference w:type="first" r:id="rId11"/>
      <w:footerReference w:type="first" r:id="rId12"/>
      <w:type w:val="continuous"/>
      <w:pgSz w:w="12240" w:h="15840"/>
      <w:pgMar w:top="1440" w:right="1440" w:bottom="1440" w:left="1440" w:header="720" w:footer="720"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15916" w14:paraId="1503E58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60FFC" w:rsidRPr="00BC4033" w:rsidP="0060030C" w14:paraId="1423AE1E" w14:textId="77777777">
    <w:pPr>
      <w:pStyle w:val="Footer"/>
      <w:jc w:val="center"/>
      <w:rPr>
        <w:rStyle w:val="PageNumber"/>
      </w:rP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15916" w14:paraId="0335605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A42ACD" w14:paraId="4522CD5B" w14:textId="77777777">
      <w:r>
        <w:separator/>
      </w:r>
    </w:p>
  </w:footnote>
  <w:footnote w:type="continuationSeparator" w:id="1">
    <w:p w:rsidR="00A42ACD" w14:paraId="4D6C9B0A" w14:textId="77777777">
      <w:r>
        <w:continuationSeparator/>
      </w:r>
    </w:p>
  </w:footnote>
  <w:footnote w:id="2">
    <w:p w:rsidR="00CC0E06" w14:paraId="6AC8C489" w14:textId="6F84AD42">
      <w:pPr>
        <w:pStyle w:val="FootnoteText"/>
      </w:pPr>
      <w:r>
        <w:rPr>
          <w:rStyle w:val="FootnoteReference"/>
        </w:rPr>
        <w:footnoteRef/>
      </w:r>
      <w:r>
        <w:t xml:space="preserve"> SCANA Complaint at p. 9</w:t>
      </w:r>
      <w:r w:rsidR="00370686">
        <w:t>.</w:t>
      </w:r>
    </w:p>
  </w:footnote>
  <w:footnote w:id="3">
    <w:p w:rsidR="00492D41" w14:paraId="3328B1B6" w14:textId="77777777">
      <w:pPr>
        <w:pStyle w:val="FootnoteText"/>
      </w:pPr>
      <w:r>
        <w:rPr>
          <w:rStyle w:val="FootnoteReference"/>
        </w:rPr>
        <w:footnoteRef/>
      </w:r>
      <w:r>
        <w:t xml:space="preserve"> SCANA Complaint at </w:t>
      </w:r>
      <w:r w:rsidR="00CC0E06">
        <w:t xml:space="preserve">¶ </w:t>
      </w:r>
      <w:r>
        <w:t xml:space="preserve">11. </w:t>
      </w:r>
    </w:p>
  </w:footnote>
  <w:footnote w:id="4">
    <w:p w:rsidR="0009715C" w14:paraId="3B36513C" w14:textId="77777777">
      <w:pPr>
        <w:pStyle w:val="FootnoteText"/>
      </w:pPr>
      <w:r>
        <w:rPr>
          <w:rStyle w:val="FootnoteReference"/>
        </w:rPr>
        <w:footnoteRef/>
      </w:r>
      <w:r>
        <w:t xml:space="preserve"> </w:t>
      </w:r>
      <w:r w:rsidR="00CC0E06">
        <w:t xml:space="preserve">SCANA Complaint at ¶ 8. </w:t>
      </w:r>
    </w:p>
  </w:footnote>
  <w:footnote w:id="5">
    <w:p w:rsidR="008F6614" w:rsidP="007639C5" w14:paraId="530DFC6C" w14:textId="560F118F">
      <w:pPr>
        <w:pStyle w:val="FootnoteText"/>
        <w:jc w:val="both"/>
      </w:pPr>
      <w:r>
        <w:rPr>
          <w:rStyle w:val="FootnoteReference"/>
        </w:rPr>
        <w:footnoteRef/>
      </w:r>
      <w:r>
        <w:t xml:space="preserve"> The concept advanced by SCANA that Transco’s OFO penalties assessed to SCANA should somehow be borne by all AGL customers is particularly dis</w:t>
      </w:r>
      <w:r w:rsidR="005375D4">
        <w:t>concerting</w:t>
      </w:r>
      <w:r>
        <w:t xml:space="preserve">, inasmuch as only six (6) of the Marketers doing business on AGL’s system that day did not comply with Transco’s OFO and </w:t>
      </w:r>
      <w:r w:rsidR="00095003">
        <w:t>were assessed penalties as a result of such noncompliance.</w:t>
      </w:r>
    </w:p>
  </w:footnote>
  <w:footnote w:id="6">
    <w:p w:rsidR="00E8725C" w:rsidP="00E8725C" w14:paraId="72E3D5CF" w14:textId="21B056A6">
      <w:pPr>
        <w:pStyle w:val="FootnoteText"/>
      </w:pPr>
      <w:r>
        <w:rPr>
          <w:rStyle w:val="FootnoteReference"/>
        </w:rPr>
        <w:footnoteRef/>
      </w:r>
      <w:r>
        <w:t xml:space="preserve"> “Except as otherwise provided by this article, the price at which a marketer sells gas shall not be regulated by the commission.” </w:t>
      </w:r>
      <w:r w:rsidR="00080DBC">
        <w:t>O.C.G.A.</w:t>
      </w:r>
      <w:r>
        <w:t xml:space="preserve"> § 46-4-160(c).</w:t>
      </w:r>
    </w:p>
  </w:footnote>
  <w:footnote w:id="7">
    <w:p w:rsidR="0091303F" w:rsidP="00554984" w14:paraId="3406EEB1" w14:textId="77777777">
      <w:pPr>
        <w:pStyle w:val="FootnoteText"/>
        <w:jc w:val="both"/>
      </w:pPr>
      <w:r>
        <w:rPr>
          <w:rStyle w:val="FootnoteReference"/>
        </w:rPr>
        <w:footnoteRef/>
      </w:r>
      <w:r>
        <w:t xml:space="preserve"> SCANA Complaint at ¶ 18. SCANA also misidentifies the relevant title of each respective section of </w:t>
      </w:r>
      <w:r w:rsidR="00FD01E4">
        <w:t xml:space="preserve">the </w:t>
      </w:r>
      <w:r>
        <w:t>AGL</w:t>
      </w:r>
      <w:r w:rsidR="00FD01E4">
        <w:t xml:space="preserve"> T</w:t>
      </w:r>
      <w:r>
        <w:t xml:space="preserve">ariff. </w:t>
      </w:r>
    </w:p>
  </w:footnote>
  <w:footnote w:id="8">
    <w:p w:rsidR="008545FF" w14:paraId="08FFD95E" w14:textId="77777777">
      <w:pPr>
        <w:pStyle w:val="FootnoteText"/>
      </w:pPr>
      <w:r>
        <w:rPr>
          <w:rStyle w:val="FootnoteReference"/>
        </w:rPr>
        <w:footnoteRef/>
      </w:r>
      <w:r>
        <w:t xml:space="preserve"> AGL Tariff at </w:t>
      </w:r>
      <w:r w:rsidR="005034DB">
        <w:t>S</w:t>
      </w:r>
      <w:r>
        <w:t>ection 17.2 (emphasis added).</w:t>
      </w:r>
    </w:p>
  </w:footnote>
  <w:footnote w:id="9">
    <w:p w:rsidR="008545FF" w14:paraId="5A428F30" w14:textId="77777777">
      <w:pPr>
        <w:pStyle w:val="FootnoteText"/>
      </w:pPr>
      <w:r>
        <w:rPr>
          <w:rStyle w:val="FootnoteReference"/>
        </w:rPr>
        <w:footnoteRef/>
      </w:r>
      <w:r>
        <w:t xml:space="preserve"> AGL Tariff at </w:t>
      </w:r>
      <w:r w:rsidR="005034DB">
        <w:t>Section</w:t>
      </w:r>
      <w:r>
        <w:t xml:space="preserve"> 15.1.2 (emphasis added).</w:t>
      </w:r>
    </w:p>
  </w:footnote>
  <w:footnote w:id="10">
    <w:p w:rsidR="008545FF" w14:paraId="467C0C70" w14:textId="77777777">
      <w:pPr>
        <w:pStyle w:val="FootnoteText"/>
      </w:pPr>
      <w:r>
        <w:rPr>
          <w:rStyle w:val="FootnoteReference"/>
        </w:rPr>
        <w:footnoteRef/>
      </w:r>
      <w:r>
        <w:t xml:space="preserve"> AGL Tariff at </w:t>
      </w:r>
      <w:r w:rsidR="005034DB">
        <w:t xml:space="preserve">Section </w:t>
      </w:r>
      <w:r>
        <w:t>19.4.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15916" w14:paraId="0B7880C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15916" w14:paraId="38E30B0B"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15916" w14:paraId="24714BD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207563D3"/>
    <w:multiLevelType w:val="hybridMultilevel"/>
    <w:tmpl w:val="9E34B290"/>
    <w:lvl w:ilvl="0">
      <w:start w:val="1"/>
      <w:numFmt w:val="upperRoman"/>
      <w:lvlText w:val="%1."/>
      <w:lvlJc w:val="right"/>
      <w:pPr>
        <w:tabs>
          <w:tab w:val="num" w:pos="540"/>
        </w:tabs>
        <w:ind w:left="540" w:hanging="18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62343517"/>
    <w:multiLevelType w:val="hybridMultilevel"/>
    <w:tmpl w:val="2BE457EA"/>
    <w:lvl w:ilvl="0">
      <w:start w:val="2"/>
      <w:numFmt w:val="upperRoman"/>
      <w:lvlText w:val="%1."/>
      <w:lvlJc w:val="left"/>
      <w:pPr>
        <w:tabs>
          <w:tab w:val="num" w:pos="1080"/>
        </w:tabs>
        <w:ind w:left="1080" w:hanging="720"/>
      </w:pPr>
      <w:rPr>
        <w:rFonts w:hint="default"/>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6FC64365"/>
    <w:multiLevelType w:val="multilevel"/>
    <w:tmpl w:val="BE94A8B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216969586">
    <w:abstractNumId w:val="0"/>
  </w:num>
  <w:num w:numId="2" w16cid:durableId="563830457">
    <w:abstractNumId w:val="2"/>
  </w:num>
  <w:num w:numId="3" w16cid:durableId="871649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stylePaneFormatFilter w:val="3801" w:allStyles="1" w:alternateStyleNames="0" w:clearFormatting="1" w:customStyles="0" w:directFormattingOnNumbering="0" w:directFormattingOnParagraphs="0" w:directFormattingOnRuns="0" w:directFormattingOnTables="1" w:headingStyles="0" w:latentStyles="0" w:numberingStyles="0" w:stylesInUse="0" w:tableStyles="0" w:top3HeadingStyles="1" w:visibleStyles="0"/>
  <w:defaultTabStop w:val="720"/>
  <w:noPunctuationKerning/>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EBA"/>
    <w:rsid w:val="00001ADD"/>
    <w:rsid w:val="0001316C"/>
    <w:rsid w:val="00014F7A"/>
    <w:rsid w:val="000262AD"/>
    <w:rsid w:val="00026A96"/>
    <w:rsid w:val="00047853"/>
    <w:rsid w:val="0005247A"/>
    <w:rsid w:val="000601DC"/>
    <w:rsid w:val="00080DBC"/>
    <w:rsid w:val="000818AD"/>
    <w:rsid w:val="00083326"/>
    <w:rsid w:val="00090B23"/>
    <w:rsid w:val="00095003"/>
    <w:rsid w:val="0009715C"/>
    <w:rsid w:val="000A4B28"/>
    <w:rsid w:val="000A5C66"/>
    <w:rsid w:val="000B5AA2"/>
    <w:rsid w:val="000C0976"/>
    <w:rsid w:val="000D37C0"/>
    <w:rsid w:val="000E4503"/>
    <w:rsid w:val="000E4F4E"/>
    <w:rsid w:val="000F4477"/>
    <w:rsid w:val="00102E57"/>
    <w:rsid w:val="00103CDA"/>
    <w:rsid w:val="00117603"/>
    <w:rsid w:val="00131DA5"/>
    <w:rsid w:val="0014229C"/>
    <w:rsid w:val="00146829"/>
    <w:rsid w:val="001560B2"/>
    <w:rsid w:val="00156A99"/>
    <w:rsid w:val="00160DD0"/>
    <w:rsid w:val="0016337F"/>
    <w:rsid w:val="001707C2"/>
    <w:rsid w:val="00170C3D"/>
    <w:rsid w:val="00173039"/>
    <w:rsid w:val="001748B0"/>
    <w:rsid w:val="0018415D"/>
    <w:rsid w:val="00184FE4"/>
    <w:rsid w:val="00186B57"/>
    <w:rsid w:val="001930B8"/>
    <w:rsid w:val="001A2052"/>
    <w:rsid w:val="001A33F7"/>
    <w:rsid w:val="001A3E0F"/>
    <w:rsid w:val="001D5293"/>
    <w:rsid w:val="001E278C"/>
    <w:rsid w:val="001F59C4"/>
    <w:rsid w:val="00203FC2"/>
    <w:rsid w:val="00211F6B"/>
    <w:rsid w:val="00212240"/>
    <w:rsid w:val="00212B74"/>
    <w:rsid w:val="0022051B"/>
    <w:rsid w:val="002263B7"/>
    <w:rsid w:val="00246C5F"/>
    <w:rsid w:val="0025204B"/>
    <w:rsid w:val="00253001"/>
    <w:rsid w:val="00260453"/>
    <w:rsid w:val="002624A2"/>
    <w:rsid w:val="00264CC4"/>
    <w:rsid w:val="002654D7"/>
    <w:rsid w:val="00272C41"/>
    <w:rsid w:val="00275C94"/>
    <w:rsid w:val="002774AC"/>
    <w:rsid w:val="00282C28"/>
    <w:rsid w:val="00293460"/>
    <w:rsid w:val="0029379A"/>
    <w:rsid w:val="00297424"/>
    <w:rsid w:val="002A101E"/>
    <w:rsid w:val="002B2AC2"/>
    <w:rsid w:val="002B775A"/>
    <w:rsid w:val="002C2C14"/>
    <w:rsid w:val="002C4C93"/>
    <w:rsid w:val="002D4089"/>
    <w:rsid w:val="002E7026"/>
    <w:rsid w:val="002E7C03"/>
    <w:rsid w:val="002F0D1F"/>
    <w:rsid w:val="002F50C5"/>
    <w:rsid w:val="0030072B"/>
    <w:rsid w:val="00342A30"/>
    <w:rsid w:val="00370686"/>
    <w:rsid w:val="00374DE3"/>
    <w:rsid w:val="00393A7A"/>
    <w:rsid w:val="003A1878"/>
    <w:rsid w:val="003B3F2D"/>
    <w:rsid w:val="003B65D3"/>
    <w:rsid w:val="003C0F05"/>
    <w:rsid w:val="003D057C"/>
    <w:rsid w:val="003D54A2"/>
    <w:rsid w:val="003D6AD9"/>
    <w:rsid w:val="003E539A"/>
    <w:rsid w:val="003E5ABD"/>
    <w:rsid w:val="003F5BE2"/>
    <w:rsid w:val="003F6B3E"/>
    <w:rsid w:val="004005F7"/>
    <w:rsid w:val="00416265"/>
    <w:rsid w:val="0042631F"/>
    <w:rsid w:val="00442AC4"/>
    <w:rsid w:val="00452FEC"/>
    <w:rsid w:val="00464A8E"/>
    <w:rsid w:val="00467669"/>
    <w:rsid w:val="004746C3"/>
    <w:rsid w:val="004810AB"/>
    <w:rsid w:val="00492D41"/>
    <w:rsid w:val="004A05FE"/>
    <w:rsid w:val="004A0DED"/>
    <w:rsid w:val="004B28C7"/>
    <w:rsid w:val="004C0628"/>
    <w:rsid w:val="004C2489"/>
    <w:rsid w:val="004C6075"/>
    <w:rsid w:val="004D0FAF"/>
    <w:rsid w:val="004D3C4A"/>
    <w:rsid w:val="004F0FCE"/>
    <w:rsid w:val="004F2CF9"/>
    <w:rsid w:val="004F40A0"/>
    <w:rsid w:val="00502C08"/>
    <w:rsid w:val="005034DB"/>
    <w:rsid w:val="00505E54"/>
    <w:rsid w:val="005114BA"/>
    <w:rsid w:val="00522EC4"/>
    <w:rsid w:val="00524428"/>
    <w:rsid w:val="0053064E"/>
    <w:rsid w:val="005375D4"/>
    <w:rsid w:val="005471BA"/>
    <w:rsid w:val="00550667"/>
    <w:rsid w:val="00551AB4"/>
    <w:rsid w:val="00551CC5"/>
    <w:rsid w:val="00554984"/>
    <w:rsid w:val="00557CD9"/>
    <w:rsid w:val="00581C41"/>
    <w:rsid w:val="00583B73"/>
    <w:rsid w:val="005850B6"/>
    <w:rsid w:val="00591907"/>
    <w:rsid w:val="005D052F"/>
    <w:rsid w:val="005D3790"/>
    <w:rsid w:val="005D5DF4"/>
    <w:rsid w:val="005E3DDE"/>
    <w:rsid w:val="005F4DFB"/>
    <w:rsid w:val="0060030C"/>
    <w:rsid w:val="006025FC"/>
    <w:rsid w:val="00610279"/>
    <w:rsid w:val="006158AD"/>
    <w:rsid w:val="00616D81"/>
    <w:rsid w:val="0062583E"/>
    <w:rsid w:val="006311FE"/>
    <w:rsid w:val="00641E71"/>
    <w:rsid w:val="00642508"/>
    <w:rsid w:val="00653D81"/>
    <w:rsid w:val="0067260D"/>
    <w:rsid w:val="006741DF"/>
    <w:rsid w:val="00682C19"/>
    <w:rsid w:val="00684783"/>
    <w:rsid w:val="00687238"/>
    <w:rsid w:val="006A4F74"/>
    <w:rsid w:val="006A5E3B"/>
    <w:rsid w:val="006B10A8"/>
    <w:rsid w:val="006B3D16"/>
    <w:rsid w:val="006D126C"/>
    <w:rsid w:val="006E0649"/>
    <w:rsid w:val="006E6D88"/>
    <w:rsid w:val="006F0361"/>
    <w:rsid w:val="006F1B43"/>
    <w:rsid w:val="006F7691"/>
    <w:rsid w:val="00704E20"/>
    <w:rsid w:val="00707FC6"/>
    <w:rsid w:val="007144CA"/>
    <w:rsid w:val="0074318C"/>
    <w:rsid w:val="00750BB8"/>
    <w:rsid w:val="007521BF"/>
    <w:rsid w:val="00754959"/>
    <w:rsid w:val="0075757E"/>
    <w:rsid w:val="007639C5"/>
    <w:rsid w:val="0077050B"/>
    <w:rsid w:val="00770BA7"/>
    <w:rsid w:val="00780C53"/>
    <w:rsid w:val="00786EBA"/>
    <w:rsid w:val="00793EF7"/>
    <w:rsid w:val="007B0CE9"/>
    <w:rsid w:val="007B6B63"/>
    <w:rsid w:val="007C2205"/>
    <w:rsid w:val="007C42F6"/>
    <w:rsid w:val="007C59EE"/>
    <w:rsid w:val="007C6025"/>
    <w:rsid w:val="007D66C9"/>
    <w:rsid w:val="007E3A0E"/>
    <w:rsid w:val="00803788"/>
    <w:rsid w:val="008173C3"/>
    <w:rsid w:val="00817A23"/>
    <w:rsid w:val="00827ED8"/>
    <w:rsid w:val="0083049C"/>
    <w:rsid w:val="008316FD"/>
    <w:rsid w:val="00832BD0"/>
    <w:rsid w:val="00834563"/>
    <w:rsid w:val="0083475A"/>
    <w:rsid w:val="008419D8"/>
    <w:rsid w:val="00845052"/>
    <w:rsid w:val="00846453"/>
    <w:rsid w:val="00851D69"/>
    <w:rsid w:val="008545FF"/>
    <w:rsid w:val="00860C70"/>
    <w:rsid w:val="008620F4"/>
    <w:rsid w:val="0086385D"/>
    <w:rsid w:val="00867550"/>
    <w:rsid w:val="00872E0C"/>
    <w:rsid w:val="00895D1E"/>
    <w:rsid w:val="008C1BB9"/>
    <w:rsid w:val="008C2D41"/>
    <w:rsid w:val="008C4715"/>
    <w:rsid w:val="008D73FE"/>
    <w:rsid w:val="008E1123"/>
    <w:rsid w:val="008E47B2"/>
    <w:rsid w:val="008F3DE0"/>
    <w:rsid w:val="008F6614"/>
    <w:rsid w:val="008F6A6D"/>
    <w:rsid w:val="009010D0"/>
    <w:rsid w:val="00902FCD"/>
    <w:rsid w:val="009068C6"/>
    <w:rsid w:val="0091303F"/>
    <w:rsid w:val="009160DB"/>
    <w:rsid w:val="009178A8"/>
    <w:rsid w:val="00920582"/>
    <w:rsid w:val="00934AF8"/>
    <w:rsid w:val="00941F96"/>
    <w:rsid w:val="00946887"/>
    <w:rsid w:val="009509ED"/>
    <w:rsid w:val="0095167B"/>
    <w:rsid w:val="00955B3C"/>
    <w:rsid w:val="00960FFC"/>
    <w:rsid w:val="00961557"/>
    <w:rsid w:val="009643ED"/>
    <w:rsid w:val="00970D60"/>
    <w:rsid w:val="00981936"/>
    <w:rsid w:val="009834E3"/>
    <w:rsid w:val="009848FE"/>
    <w:rsid w:val="00984A07"/>
    <w:rsid w:val="009956D5"/>
    <w:rsid w:val="009A6A4D"/>
    <w:rsid w:val="009C0AD5"/>
    <w:rsid w:val="009C4E60"/>
    <w:rsid w:val="009D383D"/>
    <w:rsid w:val="009F33C9"/>
    <w:rsid w:val="009F3748"/>
    <w:rsid w:val="009F517C"/>
    <w:rsid w:val="009F7A4A"/>
    <w:rsid w:val="00A06704"/>
    <w:rsid w:val="00A3756F"/>
    <w:rsid w:val="00A41076"/>
    <w:rsid w:val="00A42ACD"/>
    <w:rsid w:val="00A43845"/>
    <w:rsid w:val="00A45E66"/>
    <w:rsid w:val="00A53EBA"/>
    <w:rsid w:val="00A55667"/>
    <w:rsid w:val="00A70748"/>
    <w:rsid w:val="00A7210A"/>
    <w:rsid w:val="00A77D91"/>
    <w:rsid w:val="00A81B26"/>
    <w:rsid w:val="00A92E19"/>
    <w:rsid w:val="00A947A1"/>
    <w:rsid w:val="00A9548F"/>
    <w:rsid w:val="00AB4098"/>
    <w:rsid w:val="00AC77F3"/>
    <w:rsid w:val="00AD1FD9"/>
    <w:rsid w:val="00AE3165"/>
    <w:rsid w:val="00AE463F"/>
    <w:rsid w:val="00AF333B"/>
    <w:rsid w:val="00AF7F96"/>
    <w:rsid w:val="00B06609"/>
    <w:rsid w:val="00B07091"/>
    <w:rsid w:val="00B12765"/>
    <w:rsid w:val="00B30A8C"/>
    <w:rsid w:val="00B31CFA"/>
    <w:rsid w:val="00B368E8"/>
    <w:rsid w:val="00B60AC3"/>
    <w:rsid w:val="00B60D32"/>
    <w:rsid w:val="00B74DF9"/>
    <w:rsid w:val="00B80BD1"/>
    <w:rsid w:val="00B92341"/>
    <w:rsid w:val="00BA497F"/>
    <w:rsid w:val="00BA56DA"/>
    <w:rsid w:val="00BC0B38"/>
    <w:rsid w:val="00BC4033"/>
    <w:rsid w:val="00BC612B"/>
    <w:rsid w:val="00BD1CE9"/>
    <w:rsid w:val="00BD51C4"/>
    <w:rsid w:val="00BE485F"/>
    <w:rsid w:val="00BE591F"/>
    <w:rsid w:val="00C15916"/>
    <w:rsid w:val="00C16E16"/>
    <w:rsid w:val="00C31D2C"/>
    <w:rsid w:val="00C34A9C"/>
    <w:rsid w:val="00C422EB"/>
    <w:rsid w:val="00C51157"/>
    <w:rsid w:val="00C6310B"/>
    <w:rsid w:val="00C666AB"/>
    <w:rsid w:val="00C67C49"/>
    <w:rsid w:val="00C70D21"/>
    <w:rsid w:val="00C73A25"/>
    <w:rsid w:val="00C812D1"/>
    <w:rsid w:val="00C873FE"/>
    <w:rsid w:val="00C922D4"/>
    <w:rsid w:val="00C96F59"/>
    <w:rsid w:val="00CA0809"/>
    <w:rsid w:val="00CA0DBA"/>
    <w:rsid w:val="00CB2360"/>
    <w:rsid w:val="00CB4056"/>
    <w:rsid w:val="00CB58B6"/>
    <w:rsid w:val="00CC0E06"/>
    <w:rsid w:val="00CC2CA3"/>
    <w:rsid w:val="00CD1F9F"/>
    <w:rsid w:val="00D2389A"/>
    <w:rsid w:val="00D36373"/>
    <w:rsid w:val="00D378D7"/>
    <w:rsid w:val="00D550D4"/>
    <w:rsid w:val="00D57009"/>
    <w:rsid w:val="00D605B5"/>
    <w:rsid w:val="00D610CD"/>
    <w:rsid w:val="00D7066B"/>
    <w:rsid w:val="00D84706"/>
    <w:rsid w:val="00D8763C"/>
    <w:rsid w:val="00D91B9C"/>
    <w:rsid w:val="00D977FA"/>
    <w:rsid w:val="00DC450B"/>
    <w:rsid w:val="00DC5FDB"/>
    <w:rsid w:val="00DE3E22"/>
    <w:rsid w:val="00DF18D8"/>
    <w:rsid w:val="00DF5C94"/>
    <w:rsid w:val="00DF7D5D"/>
    <w:rsid w:val="00E14C5A"/>
    <w:rsid w:val="00E23E36"/>
    <w:rsid w:val="00E2576A"/>
    <w:rsid w:val="00E2643F"/>
    <w:rsid w:val="00E318EB"/>
    <w:rsid w:val="00E4520A"/>
    <w:rsid w:val="00E552F5"/>
    <w:rsid w:val="00E60FB0"/>
    <w:rsid w:val="00E61D32"/>
    <w:rsid w:val="00E72B0A"/>
    <w:rsid w:val="00E747DB"/>
    <w:rsid w:val="00E74CF6"/>
    <w:rsid w:val="00E8161E"/>
    <w:rsid w:val="00E8725C"/>
    <w:rsid w:val="00E91026"/>
    <w:rsid w:val="00E91DC1"/>
    <w:rsid w:val="00EA7FCF"/>
    <w:rsid w:val="00EB162C"/>
    <w:rsid w:val="00EB1668"/>
    <w:rsid w:val="00EB3AC8"/>
    <w:rsid w:val="00EB4492"/>
    <w:rsid w:val="00ED1DF1"/>
    <w:rsid w:val="00ED3163"/>
    <w:rsid w:val="00EF6914"/>
    <w:rsid w:val="00F15A91"/>
    <w:rsid w:val="00F334CB"/>
    <w:rsid w:val="00F5081C"/>
    <w:rsid w:val="00F61BBF"/>
    <w:rsid w:val="00F63152"/>
    <w:rsid w:val="00F64DB4"/>
    <w:rsid w:val="00F7146E"/>
    <w:rsid w:val="00F71CF9"/>
    <w:rsid w:val="00F72C4C"/>
    <w:rsid w:val="00F86280"/>
    <w:rsid w:val="00F92623"/>
    <w:rsid w:val="00F954A1"/>
    <w:rsid w:val="00FA2C12"/>
    <w:rsid w:val="00FA756C"/>
    <w:rsid w:val="00FA7A4B"/>
    <w:rsid w:val="00FC32BC"/>
    <w:rsid w:val="00FC3AF2"/>
    <w:rsid w:val="00FC7472"/>
    <w:rsid w:val="00FD01E4"/>
    <w:rsid w:val="00FD0F61"/>
    <w:rsid w:val="00FD6245"/>
    <w:rsid w:val="00FE05ED"/>
    <w:rsid w:val="00FE74B5"/>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6D1CE1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CE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BodyText"/>
    <w:qFormat/>
    <w:rsid w:val="00203FC2"/>
    <w:pPr>
      <w:spacing w:before="240" w:after="120"/>
      <w:jc w:val="center"/>
      <w:outlineLvl w:val="0"/>
    </w:pPr>
    <w:rPr>
      <w:rFonts w:cs="Arial"/>
      <w:b/>
      <w:bCs/>
      <w:caps/>
      <w:kern w:val="28"/>
      <w:szCs w:val="32"/>
      <w:u w:val="single"/>
    </w:rPr>
  </w:style>
  <w:style w:type="paragraph" w:styleId="BlockText">
    <w:name w:val="Block Text"/>
    <w:aliases w:val="Block Indent"/>
    <w:basedOn w:val="Normal"/>
    <w:qFormat/>
    <w:rsid w:val="00B60D32"/>
    <w:pPr>
      <w:spacing w:before="120" w:after="120"/>
      <w:ind w:left="1440" w:right="1440"/>
    </w:pPr>
  </w:style>
  <w:style w:type="paragraph" w:styleId="BodyText">
    <w:name w:val="Body Text"/>
    <w:basedOn w:val="Normal"/>
    <w:rsid w:val="00342A30"/>
    <w:pPr>
      <w:spacing w:before="120" w:after="120"/>
      <w:ind w:firstLine="720"/>
      <w:jc w:val="both"/>
    </w:pPr>
  </w:style>
  <w:style w:type="paragraph" w:styleId="Closing">
    <w:name w:val="Closing"/>
    <w:basedOn w:val="Normal"/>
    <w:rsid w:val="00B60D32"/>
    <w:pPr>
      <w:ind w:left="4320"/>
    </w:pPr>
  </w:style>
  <w:style w:type="paragraph" w:styleId="Signature">
    <w:name w:val="Signature"/>
    <w:basedOn w:val="Normal"/>
    <w:rsid w:val="00B60D32"/>
    <w:pPr>
      <w:ind w:left="4320"/>
    </w:pPr>
  </w:style>
  <w:style w:type="paragraph" w:styleId="Subtitle">
    <w:name w:val="Subtitle"/>
    <w:basedOn w:val="Normal"/>
    <w:qFormat/>
    <w:rsid w:val="00B60D32"/>
    <w:pPr>
      <w:spacing w:before="120" w:after="240"/>
      <w:outlineLvl w:val="1"/>
    </w:pPr>
    <w:rPr>
      <w:rFonts w:cs="Arial"/>
      <w:b/>
    </w:rPr>
  </w:style>
  <w:style w:type="paragraph" w:styleId="EnvelopeAddress">
    <w:name w:val="envelope address"/>
    <w:basedOn w:val="Normal"/>
    <w:rsid w:val="00B60D32"/>
    <w:pPr>
      <w:framePr w:w="7920" w:h="1980" w:hRule="exact" w:hSpace="180" w:wrap="auto" w:hAnchor="page" w:xAlign="center" w:yAlign="bottom"/>
      <w:ind w:left="2880"/>
    </w:pPr>
    <w:rPr>
      <w:rFonts w:cs="Arial"/>
    </w:rPr>
  </w:style>
  <w:style w:type="paragraph" w:styleId="EnvelopeReturn">
    <w:name w:val="envelope return"/>
    <w:basedOn w:val="Normal"/>
    <w:rsid w:val="00B60D32"/>
    <w:rPr>
      <w:rFonts w:cs="Arial"/>
      <w:sz w:val="20"/>
      <w:szCs w:val="20"/>
    </w:rPr>
  </w:style>
  <w:style w:type="paragraph" w:customStyle="1" w:styleId="BodyTextDSFirstLine10Justified">
    <w:name w:val="Body Text DS First Line (1.0) Justified"/>
    <w:basedOn w:val="Normal"/>
    <w:rsid w:val="00B60D32"/>
    <w:pPr>
      <w:spacing w:line="480" w:lineRule="auto"/>
      <w:ind w:firstLine="1440"/>
      <w:jc w:val="both"/>
    </w:pPr>
  </w:style>
  <w:style w:type="paragraph" w:customStyle="1" w:styleId="BodyTextSSFirstLine5Justified">
    <w:name w:val="Body Text SS First Line (.5) Justified"/>
    <w:basedOn w:val="Normal"/>
    <w:rsid w:val="00EF6914"/>
    <w:pPr>
      <w:spacing w:before="120" w:after="120"/>
      <w:ind w:firstLine="720"/>
      <w:jc w:val="both"/>
    </w:pPr>
  </w:style>
  <w:style w:type="paragraph" w:customStyle="1" w:styleId="BodyTextDSFirstLine5Justified">
    <w:name w:val="Body Text DS First Line (.5) Justified"/>
    <w:basedOn w:val="Normal"/>
    <w:rsid w:val="003B65D3"/>
    <w:pPr>
      <w:spacing w:line="480" w:lineRule="auto"/>
      <w:ind w:firstLine="720"/>
      <w:jc w:val="both"/>
    </w:pPr>
  </w:style>
  <w:style w:type="paragraph" w:customStyle="1" w:styleId="BodyTextDSFirstLine5">
    <w:name w:val="Body Text DS First Line (.5)"/>
    <w:basedOn w:val="Normal"/>
    <w:rsid w:val="00B60D32"/>
    <w:pPr>
      <w:spacing w:line="480" w:lineRule="auto"/>
      <w:ind w:firstLine="720"/>
    </w:pPr>
  </w:style>
  <w:style w:type="paragraph" w:customStyle="1" w:styleId="BodyTextDSFirstLine10">
    <w:name w:val="Body Text DS First Line (1.0)"/>
    <w:basedOn w:val="Normal"/>
    <w:rsid w:val="00B60D32"/>
    <w:pPr>
      <w:spacing w:line="480" w:lineRule="auto"/>
      <w:ind w:firstLine="1440"/>
    </w:pPr>
  </w:style>
  <w:style w:type="paragraph" w:customStyle="1" w:styleId="BodyTextSSFirstLine5">
    <w:name w:val="Body Text SS First Line (.5 )"/>
    <w:basedOn w:val="Normal"/>
    <w:rsid w:val="00B60D32"/>
    <w:pPr>
      <w:spacing w:before="120" w:after="120"/>
      <w:ind w:firstLine="720"/>
    </w:pPr>
  </w:style>
  <w:style w:type="paragraph" w:customStyle="1" w:styleId="BodyTextSSFirstLine10">
    <w:name w:val="Body Text SS First Line (1.0)"/>
    <w:basedOn w:val="Normal"/>
    <w:rsid w:val="00B60D32"/>
    <w:pPr>
      <w:spacing w:before="120" w:after="120"/>
      <w:ind w:firstLine="1440"/>
    </w:pPr>
  </w:style>
  <w:style w:type="paragraph" w:customStyle="1" w:styleId="BodyTextSSFirstLine10Justified">
    <w:name w:val="Body Text SS First Line (1.0) Justified"/>
    <w:basedOn w:val="Normal"/>
    <w:rsid w:val="00B60D32"/>
    <w:pPr>
      <w:spacing w:before="120" w:after="120"/>
      <w:ind w:firstLine="1440"/>
      <w:jc w:val="both"/>
    </w:pPr>
  </w:style>
  <w:style w:type="paragraph" w:customStyle="1" w:styleId="Heading">
    <w:name w:val="Heading"/>
    <w:basedOn w:val="Normal"/>
    <w:rsid w:val="00203FC2"/>
    <w:pPr>
      <w:spacing w:after="240"/>
      <w:jc w:val="center"/>
    </w:pPr>
    <w:rPr>
      <w:b/>
      <w:caps/>
      <w:u w:val="single"/>
    </w:rPr>
  </w:style>
  <w:style w:type="paragraph" w:customStyle="1" w:styleId="BodyTextLevel3">
    <w:name w:val="Body Text Level 3"/>
    <w:basedOn w:val="BodyText"/>
    <w:rsid w:val="00203FC2"/>
    <w:pPr>
      <w:ind w:firstLine="2160"/>
    </w:pPr>
  </w:style>
  <w:style w:type="paragraph" w:styleId="Header">
    <w:name w:val="header"/>
    <w:basedOn w:val="Normal"/>
    <w:rsid w:val="0060030C"/>
    <w:pPr>
      <w:tabs>
        <w:tab w:val="center" w:pos="4320"/>
        <w:tab w:val="right" w:pos="8640"/>
      </w:tabs>
    </w:pPr>
  </w:style>
  <w:style w:type="paragraph" w:styleId="Footer">
    <w:name w:val="footer"/>
    <w:basedOn w:val="Normal"/>
    <w:link w:val="FooterChar"/>
    <w:uiPriority w:val="99"/>
    <w:rsid w:val="0060030C"/>
    <w:pPr>
      <w:tabs>
        <w:tab w:val="center" w:pos="4320"/>
        <w:tab w:val="right" w:pos="8640"/>
      </w:tabs>
    </w:pPr>
  </w:style>
  <w:style w:type="character" w:styleId="PageNumber">
    <w:name w:val="page number"/>
    <w:basedOn w:val="DefaultParagraphFont"/>
    <w:rsid w:val="0060030C"/>
  </w:style>
  <w:style w:type="paragraph" w:styleId="BalloonText">
    <w:name w:val="Balloon Text"/>
    <w:basedOn w:val="Normal"/>
    <w:semiHidden/>
    <w:rsid w:val="004C6075"/>
    <w:rPr>
      <w:rFonts w:ascii="Tahoma" w:hAnsi="Tahoma" w:cs="Tahoma"/>
      <w:sz w:val="16"/>
      <w:szCs w:val="16"/>
    </w:rPr>
  </w:style>
  <w:style w:type="character" w:styleId="CommentReference">
    <w:name w:val="annotation reference"/>
    <w:semiHidden/>
    <w:rsid w:val="0053064E"/>
    <w:rPr>
      <w:sz w:val="16"/>
      <w:szCs w:val="16"/>
    </w:rPr>
  </w:style>
  <w:style w:type="paragraph" w:styleId="CommentText">
    <w:name w:val="annotation text"/>
    <w:basedOn w:val="Normal"/>
    <w:semiHidden/>
    <w:rsid w:val="0053064E"/>
    <w:rPr>
      <w:sz w:val="20"/>
      <w:szCs w:val="20"/>
    </w:rPr>
  </w:style>
  <w:style w:type="paragraph" w:styleId="CommentSubject">
    <w:name w:val="annotation subject"/>
    <w:basedOn w:val="CommentText"/>
    <w:next w:val="CommentText"/>
    <w:semiHidden/>
    <w:rsid w:val="0053064E"/>
    <w:rPr>
      <w:b/>
      <w:bCs/>
    </w:rPr>
  </w:style>
  <w:style w:type="paragraph" w:styleId="FootnoteText">
    <w:name w:val="footnote text"/>
    <w:basedOn w:val="Normal"/>
    <w:link w:val="FootnoteTextChar"/>
    <w:uiPriority w:val="99"/>
    <w:semiHidden/>
    <w:unhideWhenUsed/>
    <w:rsid w:val="00492D41"/>
    <w:rPr>
      <w:sz w:val="20"/>
      <w:szCs w:val="20"/>
    </w:rPr>
  </w:style>
  <w:style w:type="character" w:customStyle="1" w:styleId="FootnoteTextChar">
    <w:name w:val="Footnote Text Char"/>
    <w:basedOn w:val="DefaultParagraphFont"/>
    <w:link w:val="FootnoteText"/>
    <w:uiPriority w:val="99"/>
    <w:semiHidden/>
    <w:rsid w:val="00492D41"/>
  </w:style>
  <w:style w:type="character" w:styleId="FootnoteReference">
    <w:name w:val="footnote reference"/>
    <w:uiPriority w:val="99"/>
    <w:semiHidden/>
    <w:unhideWhenUsed/>
    <w:rsid w:val="00492D41"/>
    <w:rPr>
      <w:vertAlign w:val="superscript"/>
    </w:rPr>
  </w:style>
  <w:style w:type="paragraph" w:styleId="Quote">
    <w:name w:val="Quote"/>
    <w:basedOn w:val="Normal"/>
    <w:next w:val="Normal"/>
    <w:link w:val="QuoteChar"/>
    <w:uiPriority w:val="29"/>
    <w:qFormat/>
    <w:rsid w:val="00AB4098"/>
    <w:pPr>
      <w:spacing w:before="200" w:after="160"/>
      <w:ind w:left="864" w:right="864"/>
      <w:jc w:val="center"/>
    </w:pPr>
    <w:rPr>
      <w:i/>
      <w:iCs/>
      <w:color w:val="404040"/>
    </w:rPr>
  </w:style>
  <w:style w:type="character" w:customStyle="1" w:styleId="QuoteChar">
    <w:name w:val="Quote Char"/>
    <w:link w:val="Quote"/>
    <w:uiPriority w:val="29"/>
    <w:rsid w:val="00AB4098"/>
    <w:rPr>
      <w:i/>
      <w:iCs/>
      <w:color w:val="404040"/>
      <w:sz w:val="24"/>
      <w:szCs w:val="24"/>
    </w:rPr>
  </w:style>
  <w:style w:type="character" w:customStyle="1" w:styleId="FooterChar">
    <w:name w:val="Footer Char"/>
    <w:link w:val="Footer"/>
    <w:uiPriority w:val="99"/>
    <w:rsid w:val="00BC4033"/>
    <w:rPr>
      <w:sz w:val="24"/>
      <w:szCs w:val="24"/>
    </w:rPr>
  </w:style>
  <w:style w:type="paragraph" w:styleId="Revision">
    <w:name w:val="Revision"/>
    <w:hidden/>
    <w:uiPriority w:val="99"/>
    <w:semiHidden/>
    <w:rsid w:val="00264CC4"/>
    <w:rPr>
      <w:sz w:val="24"/>
      <w:szCs w:val="24"/>
    </w:rPr>
  </w:style>
  <w:style w:type="character" w:styleId="Hyperlink">
    <w:name w:val="Hyperlink"/>
    <w:basedOn w:val="DefaultParagraphFont"/>
    <w:uiPriority w:val="99"/>
    <w:unhideWhenUsed/>
    <w:rsid w:val="006025FC"/>
    <w:rPr>
      <w:color w:val="467886" w:themeColor="hyperlink"/>
      <w:u w:val="single"/>
    </w:rPr>
  </w:style>
  <w:style w:type="character" w:styleId="UnresolvedMention">
    <w:name w:val="Unresolved Mention"/>
    <w:basedOn w:val="DefaultParagraphFont"/>
    <w:uiPriority w:val="99"/>
    <w:semiHidden/>
    <w:unhideWhenUsed/>
    <w:rsid w:val="006025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image" Target="media/image1.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46E63-1511-406B-81A0-28F7AC0A1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1530</Words>
  <Characters>8724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2026-05-06T16:59:51Z</dcterms:created>
  <dcterms:modified xsi:type="dcterms:W3CDTF">2026-05-06T16:59:51Z</dcterms:modified>
</cp:coreProperties>
</file>